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E26AE40">
      <w:pPr>
        <w:jc w:val="center"/>
        <w:rPr>
          <w:rFonts w:ascii="微软雅黑" w:hAnsi="微软雅黑" w:eastAsia="微软雅黑"/>
          <w:sz w:val="28"/>
          <w:szCs w:val="32"/>
        </w:rPr>
      </w:pPr>
    </w:p>
    <w:p w14:paraId="772420A7">
      <w:pPr>
        <w:jc w:val="center"/>
        <w:rPr>
          <w:rFonts w:ascii="微软雅黑" w:hAnsi="微软雅黑" w:eastAsia="微软雅黑"/>
          <w:b/>
          <w:bCs/>
          <w:sz w:val="32"/>
          <w:szCs w:val="36"/>
        </w:rPr>
      </w:pPr>
      <w:r>
        <w:rPr>
          <w:rFonts w:hint="eastAsia" w:ascii="微软雅黑" w:hAnsi="微软雅黑" w:eastAsia="微软雅黑"/>
          <w:b/>
          <w:bCs/>
          <w:sz w:val="32"/>
          <w:szCs w:val="36"/>
        </w:rPr>
        <w:t>东方大地保险经纪有限公司销售业务管理规定</w:t>
      </w:r>
    </w:p>
    <w:p w14:paraId="26ACC32D">
      <w:pPr>
        <w:rPr>
          <w:rFonts w:ascii="微软雅黑" w:hAnsi="微软雅黑" w:eastAsia="微软雅黑"/>
          <w:sz w:val="28"/>
          <w:szCs w:val="32"/>
        </w:rPr>
      </w:pPr>
    </w:p>
    <w:p w14:paraId="67838DB0">
      <w:pPr>
        <w:jc w:val="center"/>
        <w:rPr>
          <w:rFonts w:ascii="微软雅黑" w:hAnsi="微软雅黑" w:eastAsia="微软雅黑"/>
          <w:b/>
          <w:bCs/>
          <w:sz w:val="24"/>
          <w:szCs w:val="28"/>
        </w:rPr>
      </w:pPr>
      <w:r>
        <w:rPr>
          <w:rFonts w:hint="eastAsia" w:ascii="微软雅黑" w:hAnsi="微软雅黑" w:eastAsia="微软雅黑"/>
          <w:b/>
          <w:bCs/>
          <w:sz w:val="24"/>
          <w:szCs w:val="28"/>
        </w:rPr>
        <w:t>第一部分 总则</w:t>
      </w:r>
    </w:p>
    <w:p w14:paraId="322BB1AF">
      <w:pPr>
        <w:ind w:left="1320" w:hanging="1320" w:hangingChars="550"/>
        <w:rPr>
          <w:rFonts w:ascii="微软雅黑" w:hAnsi="微软雅黑" w:eastAsia="微软雅黑"/>
          <w:sz w:val="24"/>
          <w:szCs w:val="28"/>
        </w:rPr>
      </w:pPr>
      <w:r>
        <w:rPr>
          <w:rFonts w:hint="eastAsia" w:ascii="微软雅黑" w:hAnsi="微软雅黑" w:eastAsia="微软雅黑"/>
          <w:sz w:val="24"/>
          <w:szCs w:val="28"/>
        </w:rPr>
        <w:t xml:space="preserve">第 </w:t>
      </w:r>
      <w:r>
        <w:rPr>
          <w:rFonts w:ascii="微软雅黑" w:hAnsi="微软雅黑" w:eastAsia="微软雅黑"/>
          <w:sz w:val="24"/>
          <w:szCs w:val="28"/>
        </w:rPr>
        <w:t xml:space="preserve"> </w:t>
      </w:r>
      <w:r>
        <w:rPr>
          <w:rFonts w:hint="eastAsia" w:ascii="微软雅黑" w:hAnsi="微软雅黑" w:eastAsia="微软雅黑"/>
          <w:sz w:val="24"/>
          <w:szCs w:val="28"/>
        </w:rPr>
        <w:t xml:space="preserve">一 </w:t>
      </w:r>
      <w:r>
        <w:rPr>
          <w:rFonts w:ascii="微软雅黑" w:hAnsi="微软雅黑" w:eastAsia="微软雅黑"/>
          <w:sz w:val="24"/>
          <w:szCs w:val="28"/>
        </w:rPr>
        <w:t xml:space="preserve"> </w:t>
      </w:r>
      <w:r>
        <w:rPr>
          <w:rFonts w:hint="eastAsia" w:ascii="微软雅黑" w:hAnsi="微软雅黑" w:eastAsia="微软雅黑"/>
          <w:sz w:val="24"/>
          <w:szCs w:val="28"/>
        </w:rPr>
        <w:t>条 为指导公司各级机构开展日常经营活动，规范保险销售行为及业务管理，特制订本规定。</w:t>
      </w:r>
    </w:p>
    <w:p w14:paraId="7C89CB5F">
      <w:pPr>
        <w:ind w:left="1320" w:hanging="1320" w:hangingChars="550"/>
        <w:rPr>
          <w:rFonts w:ascii="微软雅黑" w:hAnsi="微软雅黑" w:eastAsia="微软雅黑"/>
          <w:sz w:val="24"/>
          <w:szCs w:val="28"/>
        </w:rPr>
      </w:pPr>
      <w:r>
        <w:rPr>
          <w:rFonts w:hint="eastAsia" w:ascii="微软雅黑" w:hAnsi="微软雅黑" w:eastAsia="微软雅黑"/>
          <w:sz w:val="24"/>
          <w:szCs w:val="28"/>
        </w:rPr>
        <w:t xml:space="preserve">第 </w:t>
      </w:r>
      <w:r>
        <w:rPr>
          <w:rFonts w:ascii="微软雅黑" w:hAnsi="微软雅黑" w:eastAsia="微软雅黑"/>
          <w:sz w:val="24"/>
          <w:szCs w:val="28"/>
        </w:rPr>
        <w:t xml:space="preserve"> </w:t>
      </w:r>
      <w:r>
        <w:rPr>
          <w:rFonts w:hint="eastAsia" w:ascii="微软雅黑" w:hAnsi="微软雅黑" w:eastAsia="微软雅黑"/>
          <w:sz w:val="24"/>
          <w:szCs w:val="28"/>
        </w:rPr>
        <w:t xml:space="preserve">二 </w:t>
      </w:r>
      <w:r>
        <w:rPr>
          <w:rFonts w:ascii="微软雅黑" w:hAnsi="微软雅黑" w:eastAsia="微软雅黑"/>
          <w:sz w:val="24"/>
          <w:szCs w:val="28"/>
        </w:rPr>
        <w:t xml:space="preserve"> </w:t>
      </w:r>
      <w:r>
        <w:rPr>
          <w:rFonts w:hint="eastAsia" w:ascii="微软雅黑" w:hAnsi="微软雅黑" w:eastAsia="微软雅黑"/>
          <w:sz w:val="24"/>
          <w:szCs w:val="28"/>
        </w:rPr>
        <w:t>条 本规定适用于东方大地保险经纪有限公司各级分公司、直属销售部门、网销及创新渠道业务部门。</w:t>
      </w:r>
    </w:p>
    <w:p w14:paraId="03FE32E6">
      <w:pPr>
        <w:ind w:left="1320" w:hanging="1320" w:hangingChars="550"/>
        <w:rPr>
          <w:rFonts w:ascii="微软雅黑" w:hAnsi="微软雅黑" w:eastAsia="微软雅黑"/>
          <w:sz w:val="24"/>
          <w:szCs w:val="28"/>
        </w:rPr>
      </w:pPr>
      <w:r>
        <w:rPr>
          <w:rFonts w:hint="eastAsia" w:ascii="微软雅黑" w:hAnsi="微软雅黑" w:eastAsia="微软雅黑"/>
          <w:sz w:val="24"/>
          <w:szCs w:val="28"/>
        </w:rPr>
        <w:t>第</w:t>
      </w:r>
      <w:r>
        <w:rPr>
          <w:rFonts w:ascii="微软雅黑" w:hAnsi="微软雅黑" w:eastAsia="微软雅黑"/>
          <w:sz w:val="24"/>
          <w:szCs w:val="28"/>
        </w:rPr>
        <w:t xml:space="preserve">  </w:t>
      </w:r>
      <w:r>
        <w:rPr>
          <w:rFonts w:hint="eastAsia" w:ascii="微软雅黑" w:hAnsi="微软雅黑" w:eastAsia="微软雅黑"/>
          <w:sz w:val="24"/>
          <w:szCs w:val="28"/>
        </w:rPr>
        <w:t xml:space="preserve">三 </w:t>
      </w:r>
      <w:r>
        <w:rPr>
          <w:rFonts w:ascii="微软雅黑" w:hAnsi="微软雅黑" w:eastAsia="微软雅黑"/>
          <w:sz w:val="24"/>
          <w:szCs w:val="28"/>
        </w:rPr>
        <w:t xml:space="preserve"> </w:t>
      </w:r>
      <w:r>
        <w:rPr>
          <w:rFonts w:hint="eastAsia" w:ascii="微软雅黑" w:hAnsi="微软雅黑" w:eastAsia="微软雅黑"/>
          <w:sz w:val="24"/>
          <w:szCs w:val="28"/>
        </w:rPr>
        <w:t>条 本规定的执行总责任人为总经理，各级机构和销售部门责任人为分管邻域的第一责任人。总经理室授权运营中心负责监督销售行为和业务数据，授权财务中心负责监督销售费用与财务数据。</w:t>
      </w:r>
    </w:p>
    <w:p w14:paraId="4B3429F3">
      <w:pPr>
        <w:ind w:left="1320" w:hanging="1321" w:hangingChars="550"/>
        <w:jc w:val="center"/>
        <w:rPr>
          <w:rFonts w:ascii="微软雅黑" w:hAnsi="微软雅黑" w:eastAsia="微软雅黑"/>
          <w:b/>
          <w:bCs/>
          <w:sz w:val="24"/>
          <w:szCs w:val="28"/>
        </w:rPr>
      </w:pPr>
      <w:r>
        <w:rPr>
          <w:rFonts w:hint="eastAsia" w:ascii="微软雅黑" w:hAnsi="微软雅黑" w:eastAsia="微软雅黑"/>
          <w:b/>
          <w:bCs/>
          <w:sz w:val="24"/>
          <w:szCs w:val="28"/>
        </w:rPr>
        <w:t>第二部分 人员管理与机构管理</w:t>
      </w:r>
    </w:p>
    <w:p w14:paraId="40C2A9AC">
      <w:pPr>
        <w:ind w:left="1320" w:hanging="1320" w:hangingChars="550"/>
        <w:rPr>
          <w:rFonts w:ascii="微软雅黑" w:hAnsi="微软雅黑" w:eastAsia="微软雅黑"/>
          <w:sz w:val="24"/>
          <w:szCs w:val="28"/>
        </w:rPr>
      </w:pPr>
      <w:r>
        <w:rPr>
          <w:rFonts w:hint="eastAsia" w:ascii="微软雅黑" w:hAnsi="微软雅黑" w:eastAsia="微软雅黑"/>
          <w:sz w:val="24"/>
          <w:szCs w:val="28"/>
        </w:rPr>
        <w:t xml:space="preserve">第 </w:t>
      </w:r>
      <w:r>
        <w:rPr>
          <w:rFonts w:ascii="微软雅黑" w:hAnsi="微软雅黑" w:eastAsia="微软雅黑"/>
          <w:sz w:val="24"/>
          <w:szCs w:val="28"/>
        </w:rPr>
        <w:t xml:space="preserve"> </w:t>
      </w:r>
      <w:r>
        <w:rPr>
          <w:rFonts w:hint="eastAsia" w:ascii="微软雅黑" w:hAnsi="微软雅黑" w:eastAsia="微软雅黑"/>
          <w:sz w:val="24"/>
          <w:szCs w:val="28"/>
        </w:rPr>
        <w:t xml:space="preserve">四 </w:t>
      </w:r>
      <w:r>
        <w:rPr>
          <w:rFonts w:ascii="微软雅黑" w:hAnsi="微软雅黑" w:eastAsia="微软雅黑"/>
          <w:sz w:val="24"/>
          <w:szCs w:val="28"/>
        </w:rPr>
        <w:t xml:space="preserve"> </w:t>
      </w:r>
      <w:r>
        <w:rPr>
          <w:rFonts w:hint="eastAsia" w:ascii="微软雅黑" w:hAnsi="微软雅黑" w:eastAsia="微软雅黑"/>
          <w:sz w:val="24"/>
          <w:szCs w:val="28"/>
        </w:rPr>
        <w:t>条 各级机构应当按照相关分公司管理办法和从业人员管理规定，对机构所辖的全部保险经纪人都必须进行执业注册登记。未完成执业注册登记的人员，不得开展销售活动。</w:t>
      </w:r>
    </w:p>
    <w:p w14:paraId="0E1F62D5">
      <w:pPr>
        <w:ind w:left="1320" w:hanging="1320" w:hangingChars="550"/>
        <w:rPr>
          <w:rFonts w:ascii="微软雅黑" w:hAnsi="微软雅黑" w:eastAsia="微软雅黑"/>
          <w:sz w:val="24"/>
          <w:szCs w:val="28"/>
        </w:rPr>
      </w:pPr>
      <w:r>
        <w:rPr>
          <w:rFonts w:hint="eastAsia" w:ascii="微软雅黑" w:hAnsi="微软雅黑" w:eastAsia="微软雅黑"/>
          <w:sz w:val="24"/>
          <w:szCs w:val="28"/>
        </w:rPr>
        <w:t xml:space="preserve">第 </w:t>
      </w:r>
      <w:r>
        <w:rPr>
          <w:rFonts w:ascii="微软雅黑" w:hAnsi="微软雅黑" w:eastAsia="微软雅黑"/>
          <w:sz w:val="24"/>
          <w:szCs w:val="28"/>
        </w:rPr>
        <w:t xml:space="preserve"> </w:t>
      </w:r>
      <w:r>
        <w:rPr>
          <w:rFonts w:hint="eastAsia" w:ascii="微软雅黑" w:hAnsi="微软雅黑" w:eastAsia="微软雅黑"/>
          <w:sz w:val="24"/>
          <w:szCs w:val="28"/>
        </w:rPr>
        <w:t xml:space="preserve">五 </w:t>
      </w:r>
      <w:r>
        <w:rPr>
          <w:rFonts w:ascii="微软雅黑" w:hAnsi="微软雅黑" w:eastAsia="微软雅黑"/>
          <w:sz w:val="24"/>
          <w:szCs w:val="28"/>
        </w:rPr>
        <w:t xml:space="preserve"> </w:t>
      </w:r>
      <w:r>
        <w:rPr>
          <w:rFonts w:hint="eastAsia" w:ascii="微软雅黑" w:hAnsi="微软雅黑" w:eastAsia="微软雅黑"/>
          <w:sz w:val="24"/>
          <w:szCs w:val="28"/>
        </w:rPr>
        <w:t>条 各级机构所辖的注册保险经纪人（以下简称：经纪人）在正式开展销售活动之前，应当按照从业人员管理规定进行岗前培训达到要求的课时，并进行培训考核。未参加培训、培训达到要求课时或培训考核不合格的，不得独立开展销售活动。</w:t>
      </w:r>
    </w:p>
    <w:p w14:paraId="007EEB1C">
      <w:pPr>
        <w:ind w:left="1320" w:hanging="1320" w:hangingChars="550"/>
        <w:rPr>
          <w:rFonts w:ascii="微软雅黑" w:hAnsi="微软雅黑" w:eastAsia="微软雅黑"/>
          <w:sz w:val="24"/>
          <w:szCs w:val="28"/>
        </w:rPr>
      </w:pPr>
      <w:r>
        <w:rPr>
          <w:rFonts w:hint="eastAsia" w:ascii="微软雅黑" w:hAnsi="微软雅黑" w:eastAsia="微软雅黑"/>
          <w:sz w:val="24"/>
          <w:szCs w:val="28"/>
        </w:rPr>
        <w:t xml:space="preserve">第 </w:t>
      </w:r>
      <w:r>
        <w:rPr>
          <w:rFonts w:ascii="微软雅黑" w:hAnsi="微软雅黑" w:eastAsia="微软雅黑"/>
          <w:sz w:val="24"/>
          <w:szCs w:val="28"/>
        </w:rPr>
        <w:t xml:space="preserve"> </w:t>
      </w:r>
      <w:r>
        <w:rPr>
          <w:rFonts w:hint="eastAsia" w:ascii="微软雅黑" w:hAnsi="微软雅黑" w:eastAsia="微软雅黑"/>
          <w:sz w:val="24"/>
          <w:szCs w:val="28"/>
        </w:rPr>
        <w:t xml:space="preserve">六 </w:t>
      </w:r>
      <w:r>
        <w:rPr>
          <w:rFonts w:ascii="微软雅黑" w:hAnsi="微软雅黑" w:eastAsia="微软雅黑"/>
          <w:sz w:val="24"/>
          <w:szCs w:val="28"/>
        </w:rPr>
        <w:t xml:space="preserve"> </w:t>
      </w:r>
      <w:r>
        <w:rPr>
          <w:rFonts w:hint="eastAsia" w:ascii="微软雅黑" w:hAnsi="微软雅黑" w:eastAsia="微软雅黑"/>
          <w:sz w:val="24"/>
          <w:szCs w:val="28"/>
        </w:rPr>
        <w:t>条 无保险从业经验或既往无连续保险从业经验的人员，依照规定岗前培训总课时数至少</w:t>
      </w:r>
      <w:r>
        <w:rPr>
          <w:rFonts w:hint="eastAsia" w:ascii="微软雅黑" w:hAnsi="微软雅黑" w:eastAsia="微软雅黑"/>
          <w:sz w:val="24"/>
          <w:szCs w:val="28"/>
          <w:lang w:val="en-US" w:eastAsia="zh-CN"/>
        </w:rPr>
        <w:t>15</w:t>
      </w:r>
      <w:r>
        <w:rPr>
          <w:rFonts w:hint="eastAsia" w:ascii="微软雅黑" w:hAnsi="微软雅黑" w:eastAsia="微软雅黑"/>
          <w:sz w:val="24"/>
          <w:szCs w:val="28"/>
        </w:rPr>
        <w:t>课时（</w:t>
      </w:r>
      <w:r>
        <w:rPr>
          <w:rFonts w:hint="eastAsia" w:ascii="微软雅黑" w:hAnsi="微软雅黑" w:eastAsia="微软雅黑"/>
          <w:sz w:val="24"/>
          <w:szCs w:val="28"/>
          <w:lang w:val="en-US" w:eastAsia="zh-CN"/>
        </w:rPr>
        <w:t>3</w:t>
      </w:r>
      <w:r>
        <w:rPr>
          <w:rFonts w:ascii="微软雅黑" w:hAnsi="微软雅黑" w:eastAsia="微软雅黑"/>
          <w:sz w:val="24"/>
          <w:szCs w:val="28"/>
        </w:rPr>
        <w:t>0</w:t>
      </w:r>
      <w:r>
        <w:rPr>
          <w:rFonts w:hint="eastAsia" w:ascii="微软雅黑" w:hAnsi="微软雅黑" w:eastAsia="微软雅黑"/>
          <w:sz w:val="24"/>
          <w:szCs w:val="28"/>
        </w:rPr>
        <w:t>小时）。既往有连续的保险从业经验的人员，岗前培训总课时可以按照后续教育培训执行，保证不少于4课时的法律法规培训及职业道德教育。</w:t>
      </w:r>
    </w:p>
    <w:p w14:paraId="2E629870">
      <w:pPr>
        <w:ind w:left="1320" w:hanging="1320" w:hangingChars="550"/>
        <w:rPr>
          <w:rFonts w:ascii="微软雅黑" w:hAnsi="微软雅黑" w:eastAsia="微软雅黑"/>
          <w:sz w:val="24"/>
          <w:szCs w:val="28"/>
        </w:rPr>
      </w:pPr>
      <w:r>
        <w:rPr>
          <w:rFonts w:hint="eastAsia" w:ascii="微软雅黑" w:hAnsi="微软雅黑" w:eastAsia="微软雅黑"/>
          <w:sz w:val="24"/>
          <w:szCs w:val="28"/>
        </w:rPr>
        <w:t xml:space="preserve">第 </w:t>
      </w:r>
      <w:r>
        <w:rPr>
          <w:rFonts w:ascii="微软雅黑" w:hAnsi="微软雅黑" w:eastAsia="微软雅黑"/>
          <w:sz w:val="24"/>
          <w:szCs w:val="28"/>
        </w:rPr>
        <w:t xml:space="preserve"> </w:t>
      </w:r>
      <w:r>
        <w:rPr>
          <w:rFonts w:hint="eastAsia" w:ascii="微软雅黑" w:hAnsi="微软雅黑" w:eastAsia="微软雅黑"/>
          <w:sz w:val="24"/>
          <w:szCs w:val="28"/>
        </w:rPr>
        <w:t xml:space="preserve">七 </w:t>
      </w:r>
      <w:r>
        <w:rPr>
          <w:rFonts w:ascii="微软雅黑" w:hAnsi="微软雅黑" w:eastAsia="微软雅黑"/>
          <w:sz w:val="24"/>
          <w:szCs w:val="28"/>
        </w:rPr>
        <w:t xml:space="preserve"> </w:t>
      </w:r>
      <w:r>
        <w:rPr>
          <w:rFonts w:hint="eastAsia" w:ascii="微软雅黑" w:hAnsi="微软雅黑" w:eastAsia="微软雅黑"/>
          <w:sz w:val="24"/>
          <w:szCs w:val="28"/>
        </w:rPr>
        <w:t>条 各级机构应当按照总公司要求参加或独立组织的培训课程，做好所辖经纪人的培训管理与档案记录，并定期将培训情况报总部备案。各级机构须保证机构所辖经纪人的年度培训课时不少于2</w:t>
      </w:r>
      <w:r>
        <w:rPr>
          <w:rFonts w:ascii="微软雅黑" w:hAnsi="微软雅黑" w:eastAsia="微软雅黑"/>
          <w:sz w:val="24"/>
          <w:szCs w:val="28"/>
        </w:rPr>
        <w:t>0</w:t>
      </w:r>
      <w:r>
        <w:rPr>
          <w:rFonts w:hint="eastAsia" w:ascii="微软雅黑" w:hAnsi="微软雅黑" w:eastAsia="微软雅黑"/>
          <w:sz w:val="24"/>
          <w:szCs w:val="28"/>
        </w:rPr>
        <w:t>课时，其中法律法规培训、职业道德教育不少于</w:t>
      </w:r>
      <w:r>
        <w:rPr>
          <w:rFonts w:ascii="微软雅黑" w:hAnsi="微软雅黑" w:eastAsia="微软雅黑"/>
          <w:sz w:val="24"/>
          <w:szCs w:val="28"/>
        </w:rPr>
        <w:t>8</w:t>
      </w:r>
      <w:r>
        <w:rPr>
          <w:rFonts w:hint="eastAsia" w:ascii="微软雅黑" w:hAnsi="微软雅黑" w:eastAsia="微软雅黑"/>
          <w:sz w:val="24"/>
          <w:szCs w:val="28"/>
        </w:rPr>
        <w:t>课时。</w:t>
      </w:r>
    </w:p>
    <w:p w14:paraId="171FAF2B">
      <w:pPr>
        <w:ind w:left="1320" w:hanging="1320" w:hangingChars="550"/>
        <w:rPr>
          <w:rFonts w:ascii="微软雅黑" w:hAnsi="微软雅黑" w:eastAsia="微软雅黑"/>
          <w:sz w:val="24"/>
          <w:szCs w:val="28"/>
        </w:rPr>
      </w:pPr>
      <w:r>
        <w:rPr>
          <w:rFonts w:hint="eastAsia" w:ascii="微软雅黑" w:hAnsi="微软雅黑" w:eastAsia="微软雅黑"/>
          <w:sz w:val="24"/>
          <w:szCs w:val="28"/>
        </w:rPr>
        <w:t xml:space="preserve">第 </w:t>
      </w:r>
      <w:r>
        <w:rPr>
          <w:rFonts w:ascii="微软雅黑" w:hAnsi="微软雅黑" w:eastAsia="微软雅黑"/>
          <w:sz w:val="24"/>
          <w:szCs w:val="28"/>
        </w:rPr>
        <w:t xml:space="preserve"> </w:t>
      </w:r>
      <w:r>
        <w:rPr>
          <w:rFonts w:hint="eastAsia" w:ascii="微软雅黑" w:hAnsi="微软雅黑" w:eastAsia="微软雅黑"/>
          <w:sz w:val="24"/>
          <w:szCs w:val="28"/>
        </w:rPr>
        <w:t xml:space="preserve">八 </w:t>
      </w:r>
      <w:r>
        <w:rPr>
          <w:rFonts w:ascii="微软雅黑" w:hAnsi="微软雅黑" w:eastAsia="微软雅黑"/>
          <w:sz w:val="24"/>
          <w:szCs w:val="28"/>
        </w:rPr>
        <w:t xml:space="preserve"> </w:t>
      </w:r>
      <w:r>
        <w:rPr>
          <w:rFonts w:hint="eastAsia" w:ascii="微软雅黑" w:hAnsi="微软雅黑" w:eastAsia="微软雅黑"/>
          <w:sz w:val="24"/>
          <w:szCs w:val="28"/>
        </w:rPr>
        <w:t>条 各级机构所辖经纪人的培训考核结果应当纳入年度考核计划，并在机构年终提交的总结报告中体现。</w:t>
      </w:r>
    </w:p>
    <w:p w14:paraId="54EB4B74">
      <w:pPr>
        <w:ind w:left="1320" w:hanging="1320" w:hangingChars="550"/>
        <w:rPr>
          <w:rFonts w:ascii="微软雅黑" w:hAnsi="微软雅黑" w:eastAsia="微软雅黑"/>
          <w:sz w:val="24"/>
          <w:szCs w:val="28"/>
        </w:rPr>
      </w:pPr>
      <w:r>
        <w:rPr>
          <w:rFonts w:hint="eastAsia" w:ascii="微软雅黑" w:hAnsi="微软雅黑" w:eastAsia="微软雅黑"/>
          <w:sz w:val="24"/>
          <w:szCs w:val="28"/>
        </w:rPr>
        <w:t xml:space="preserve">第 </w:t>
      </w:r>
      <w:r>
        <w:rPr>
          <w:rFonts w:ascii="微软雅黑" w:hAnsi="微软雅黑" w:eastAsia="微软雅黑"/>
          <w:sz w:val="24"/>
          <w:szCs w:val="28"/>
        </w:rPr>
        <w:t xml:space="preserve"> </w:t>
      </w:r>
      <w:r>
        <w:rPr>
          <w:rFonts w:hint="eastAsia" w:ascii="微软雅黑" w:hAnsi="微软雅黑" w:eastAsia="微软雅黑"/>
          <w:sz w:val="24"/>
          <w:szCs w:val="28"/>
        </w:rPr>
        <w:t xml:space="preserve">九 </w:t>
      </w:r>
      <w:r>
        <w:rPr>
          <w:rFonts w:ascii="微软雅黑" w:hAnsi="微软雅黑" w:eastAsia="微软雅黑"/>
          <w:sz w:val="24"/>
          <w:szCs w:val="28"/>
        </w:rPr>
        <w:t xml:space="preserve"> </w:t>
      </w:r>
      <w:r>
        <w:rPr>
          <w:rFonts w:hint="eastAsia" w:ascii="微软雅黑" w:hAnsi="微软雅黑" w:eastAsia="微软雅黑"/>
          <w:sz w:val="24"/>
          <w:szCs w:val="28"/>
        </w:rPr>
        <w:t>条 各级机构应当建立早晚例会制度，并做好出勤记录。各机构可以根据实际情况，调整例会的时间与频率，但早晚例会次数合计每周不少于</w:t>
      </w:r>
      <w:r>
        <w:rPr>
          <w:rFonts w:ascii="微软雅黑" w:hAnsi="微软雅黑" w:eastAsia="微软雅黑"/>
          <w:sz w:val="24"/>
          <w:szCs w:val="28"/>
        </w:rPr>
        <w:t>5</w:t>
      </w:r>
      <w:r>
        <w:rPr>
          <w:rFonts w:hint="eastAsia" w:ascii="微软雅黑" w:hAnsi="微软雅黑" w:eastAsia="微软雅黑"/>
          <w:sz w:val="24"/>
          <w:szCs w:val="28"/>
        </w:rPr>
        <w:t>次，会议总时长不少于</w:t>
      </w:r>
      <w:r>
        <w:rPr>
          <w:rFonts w:ascii="微软雅黑" w:hAnsi="微软雅黑" w:eastAsia="微软雅黑"/>
          <w:sz w:val="24"/>
          <w:szCs w:val="28"/>
        </w:rPr>
        <w:t>3</w:t>
      </w:r>
      <w:r>
        <w:rPr>
          <w:rFonts w:hint="eastAsia" w:ascii="微软雅黑" w:hAnsi="微软雅黑" w:eastAsia="微软雅黑"/>
          <w:sz w:val="24"/>
          <w:szCs w:val="28"/>
        </w:rPr>
        <w:t>小时。</w:t>
      </w:r>
    </w:p>
    <w:p w14:paraId="3180B571">
      <w:pPr>
        <w:ind w:left="1320" w:hanging="1320" w:hangingChars="550"/>
        <w:rPr>
          <w:rFonts w:ascii="微软雅黑" w:hAnsi="微软雅黑" w:eastAsia="微软雅黑"/>
          <w:sz w:val="24"/>
          <w:szCs w:val="28"/>
        </w:rPr>
      </w:pPr>
      <w:r>
        <w:rPr>
          <w:rFonts w:hint="eastAsia" w:ascii="微软雅黑" w:hAnsi="微软雅黑" w:eastAsia="微软雅黑"/>
          <w:sz w:val="24"/>
          <w:szCs w:val="28"/>
        </w:rPr>
        <w:t xml:space="preserve">第 </w:t>
      </w:r>
      <w:r>
        <w:rPr>
          <w:rFonts w:ascii="微软雅黑" w:hAnsi="微软雅黑" w:eastAsia="微软雅黑"/>
          <w:sz w:val="24"/>
          <w:szCs w:val="28"/>
        </w:rPr>
        <w:t xml:space="preserve"> </w:t>
      </w:r>
      <w:r>
        <w:rPr>
          <w:rFonts w:hint="eastAsia" w:ascii="微软雅黑" w:hAnsi="微软雅黑" w:eastAsia="微软雅黑"/>
          <w:sz w:val="24"/>
          <w:szCs w:val="28"/>
        </w:rPr>
        <w:t xml:space="preserve">十 </w:t>
      </w:r>
      <w:r>
        <w:rPr>
          <w:rFonts w:ascii="微软雅黑" w:hAnsi="微软雅黑" w:eastAsia="微软雅黑"/>
          <w:sz w:val="24"/>
          <w:szCs w:val="28"/>
        </w:rPr>
        <w:t xml:space="preserve"> </w:t>
      </w:r>
      <w:r>
        <w:rPr>
          <w:rFonts w:hint="eastAsia" w:ascii="微软雅黑" w:hAnsi="微软雅黑" w:eastAsia="微软雅黑"/>
          <w:sz w:val="24"/>
          <w:szCs w:val="28"/>
        </w:rPr>
        <w:t>条</w:t>
      </w:r>
      <w:r>
        <w:rPr>
          <w:rFonts w:ascii="微软雅黑" w:hAnsi="微软雅黑" w:eastAsia="微软雅黑"/>
          <w:sz w:val="24"/>
          <w:szCs w:val="28"/>
        </w:rPr>
        <w:t xml:space="preserve"> </w:t>
      </w:r>
      <w:r>
        <w:rPr>
          <w:rFonts w:hint="eastAsia" w:ascii="微软雅黑" w:hAnsi="微软雅黑" w:eastAsia="微软雅黑"/>
          <w:sz w:val="24"/>
          <w:szCs w:val="28"/>
        </w:rPr>
        <w:t>各级机构例会原则上由机构负责人主持，参会人员依据会议主体内容酌情通知。其中有关法律知识培训、合规通知传达、职业道德教育的会议必须全员参加，做好会议记录。</w:t>
      </w:r>
    </w:p>
    <w:p w14:paraId="12EFE648">
      <w:pPr>
        <w:ind w:left="1320" w:hanging="1320" w:hangingChars="550"/>
        <w:rPr>
          <w:rFonts w:ascii="微软雅黑" w:hAnsi="微软雅黑" w:eastAsia="微软雅黑"/>
          <w:sz w:val="24"/>
          <w:szCs w:val="28"/>
        </w:rPr>
      </w:pPr>
      <w:r>
        <w:rPr>
          <w:rFonts w:hint="eastAsia" w:ascii="微软雅黑" w:hAnsi="微软雅黑" w:eastAsia="微软雅黑"/>
          <w:sz w:val="24"/>
          <w:szCs w:val="28"/>
        </w:rPr>
        <w:t>第</w:t>
      </w:r>
      <w:r>
        <w:rPr>
          <w:rFonts w:ascii="微软雅黑" w:hAnsi="微软雅黑" w:eastAsia="微软雅黑"/>
          <w:sz w:val="24"/>
          <w:szCs w:val="28"/>
        </w:rPr>
        <w:t xml:space="preserve"> </w:t>
      </w:r>
      <w:r>
        <w:rPr>
          <w:rFonts w:hint="eastAsia" w:ascii="微软雅黑" w:hAnsi="微软雅黑" w:eastAsia="微软雅黑"/>
          <w:sz w:val="24"/>
          <w:szCs w:val="28"/>
        </w:rPr>
        <w:t>十一 条 日常例会内容应当包括：产品培训、业务追踪、销售演练、业绩分析、技能分享、合规宣导等内容，其中以产品培训、业务追踪、销售演练等主题的会议内容不少于5</w:t>
      </w:r>
      <w:r>
        <w:rPr>
          <w:rFonts w:ascii="微软雅黑" w:hAnsi="微软雅黑" w:eastAsia="微软雅黑"/>
          <w:sz w:val="24"/>
          <w:szCs w:val="28"/>
        </w:rPr>
        <w:t>0%</w:t>
      </w:r>
      <w:r>
        <w:rPr>
          <w:rFonts w:hint="eastAsia" w:ascii="微软雅黑" w:hAnsi="微软雅黑" w:eastAsia="微软雅黑"/>
          <w:sz w:val="24"/>
          <w:szCs w:val="28"/>
        </w:rPr>
        <w:t>，以合规宣导相关主题不少于1</w:t>
      </w:r>
      <w:r>
        <w:rPr>
          <w:rFonts w:ascii="微软雅黑" w:hAnsi="微软雅黑" w:eastAsia="微软雅黑"/>
          <w:sz w:val="24"/>
          <w:szCs w:val="28"/>
        </w:rPr>
        <w:t>5%</w:t>
      </w:r>
      <w:r>
        <w:rPr>
          <w:rFonts w:hint="eastAsia" w:ascii="微软雅黑" w:hAnsi="微软雅黑" w:eastAsia="微软雅黑"/>
          <w:sz w:val="24"/>
          <w:szCs w:val="28"/>
        </w:rPr>
        <w:t>或每月至少</w:t>
      </w:r>
      <w:r>
        <w:rPr>
          <w:rFonts w:ascii="微软雅黑" w:hAnsi="微软雅黑" w:eastAsia="微软雅黑"/>
          <w:sz w:val="24"/>
          <w:szCs w:val="28"/>
        </w:rPr>
        <w:t>1</w:t>
      </w:r>
      <w:r>
        <w:rPr>
          <w:rFonts w:hint="eastAsia" w:ascii="微软雅黑" w:hAnsi="微软雅黑" w:eastAsia="微软雅黑"/>
          <w:sz w:val="24"/>
          <w:szCs w:val="28"/>
        </w:rPr>
        <w:t>次。各级机构应当根据实际情况，建立日常经纪人日常业务追踪管理的细则及业务档案。</w:t>
      </w:r>
    </w:p>
    <w:p w14:paraId="71FA5CFE">
      <w:pPr>
        <w:ind w:left="1320" w:hanging="1320" w:hangingChars="550"/>
        <w:rPr>
          <w:rFonts w:ascii="微软雅黑" w:hAnsi="微软雅黑" w:eastAsia="微软雅黑"/>
          <w:sz w:val="24"/>
          <w:szCs w:val="28"/>
        </w:rPr>
      </w:pPr>
      <w:r>
        <w:rPr>
          <w:rFonts w:hint="eastAsia" w:ascii="微软雅黑" w:hAnsi="微软雅黑" w:eastAsia="微软雅黑"/>
          <w:sz w:val="24"/>
          <w:szCs w:val="28"/>
        </w:rPr>
        <w:t>第 十二 条 各级机构应当做好所辖机构经纪人的会议出勤管理，对无故缺席、迟到、早退的严格考勤：</w:t>
      </w:r>
    </w:p>
    <w:p w14:paraId="047802A7">
      <w:pPr>
        <w:ind w:left="1320" w:hanging="1320" w:hangingChars="550"/>
        <w:rPr>
          <w:rFonts w:hint="eastAsia" w:ascii="微软雅黑" w:hAnsi="微软雅黑" w:eastAsia="微软雅黑"/>
          <w:sz w:val="24"/>
          <w:szCs w:val="28"/>
        </w:rPr>
      </w:pPr>
      <w:r>
        <w:rPr>
          <w:rFonts w:ascii="微软雅黑" w:hAnsi="微软雅黑" w:eastAsia="微软雅黑"/>
          <w:sz w:val="24"/>
          <w:szCs w:val="28"/>
        </w:rPr>
        <w:tab/>
      </w:r>
      <w:r>
        <w:rPr>
          <w:rFonts w:ascii="微软雅黑" w:hAnsi="微软雅黑" w:eastAsia="微软雅黑"/>
          <w:sz w:val="24"/>
          <w:szCs w:val="28"/>
        </w:rPr>
        <w:t>⑴</w:t>
      </w:r>
      <w:r>
        <w:rPr>
          <w:rFonts w:hint="eastAsia" w:ascii="微软雅黑" w:hAnsi="微软雅黑" w:eastAsia="微软雅黑"/>
          <w:sz w:val="24"/>
          <w:szCs w:val="28"/>
        </w:rPr>
        <w:t>、对无故缺席1次/月以上，累计迟到或早退3次/月以上的人员，推迟当月1</w:t>
      </w:r>
      <w:r>
        <w:rPr>
          <w:rFonts w:ascii="微软雅黑" w:hAnsi="微软雅黑" w:eastAsia="微软雅黑"/>
          <w:sz w:val="24"/>
          <w:szCs w:val="28"/>
        </w:rPr>
        <w:t>0%</w:t>
      </w:r>
      <w:r>
        <w:rPr>
          <w:rFonts w:hint="eastAsia" w:ascii="微软雅黑" w:hAnsi="微软雅黑" w:eastAsia="微软雅黑"/>
          <w:sz w:val="24"/>
          <w:szCs w:val="28"/>
        </w:rPr>
        <w:t>绩效至次月发放。</w:t>
      </w:r>
    </w:p>
    <w:p w14:paraId="1C5CA838">
      <w:pPr>
        <w:ind w:left="1320" w:hanging="1320" w:hangingChars="550"/>
        <w:rPr>
          <w:rFonts w:ascii="微软雅黑" w:hAnsi="微软雅黑" w:eastAsia="微软雅黑"/>
          <w:sz w:val="24"/>
          <w:szCs w:val="28"/>
        </w:rPr>
      </w:pPr>
      <w:r>
        <w:rPr>
          <w:rFonts w:ascii="微软雅黑" w:hAnsi="微软雅黑" w:eastAsia="微软雅黑"/>
          <w:sz w:val="24"/>
          <w:szCs w:val="28"/>
        </w:rPr>
        <w:tab/>
      </w:r>
      <w:r>
        <w:rPr>
          <w:rFonts w:ascii="微软雅黑" w:hAnsi="微软雅黑" w:eastAsia="微软雅黑"/>
          <w:sz w:val="24"/>
          <w:szCs w:val="28"/>
        </w:rPr>
        <w:t>⑵</w:t>
      </w:r>
      <w:r>
        <w:rPr>
          <w:rFonts w:hint="eastAsia" w:ascii="微软雅黑" w:hAnsi="微软雅黑" w:eastAsia="微软雅黑"/>
          <w:sz w:val="24"/>
          <w:szCs w:val="28"/>
        </w:rPr>
        <w:t>、对累计无故缺席达到3次/月以上、累计迟到或早退1</w:t>
      </w:r>
      <w:r>
        <w:rPr>
          <w:rFonts w:ascii="微软雅黑" w:hAnsi="微软雅黑" w:eastAsia="微软雅黑"/>
          <w:sz w:val="24"/>
          <w:szCs w:val="28"/>
        </w:rPr>
        <w:t>0</w:t>
      </w:r>
      <w:r>
        <w:rPr>
          <w:rFonts w:hint="eastAsia" w:ascii="微软雅黑" w:hAnsi="微软雅黑" w:eastAsia="微软雅黑"/>
          <w:sz w:val="24"/>
          <w:szCs w:val="28"/>
        </w:rPr>
        <w:t>次/月以上的人员，推迟当月</w:t>
      </w:r>
      <w:r>
        <w:rPr>
          <w:rFonts w:ascii="微软雅黑" w:hAnsi="微软雅黑" w:eastAsia="微软雅黑"/>
          <w:sz w:val="24"/>
          <w:szCs w:val="28"/>
        </w:rPr>
        <w:t>30%</w:t>
      </w:r>
      <w:r>
        <w:rPr>
          <w:rFonts w:hint="eastAsia" w:ascii="微软雅黑" w:hAnsi="微软雅黑" w:eastAsia="微软雅黑"/>
          <w:sz w:val="24"/>
          <w:szCs w:val="28"/>
        </w:rPr>
        <w:t>绩效至次月发放。</w:t>
      </w:r>
    </w:p>
    <w:p w14:paraId="2EF19CDC">
      <w:pPr>
        <w:ind w:left="1320" w:hanging="1320" w:hangingChars="550"/>
        <w:rPr>
          <w:rFonts w:ascii="微软雅黑" w:hAnsi="微软雅黑" w:eastAsia="微软雅黑"/>
          <w:sz w:val="24"/>
          <w:szCs w:val="28"/>
        </w:rPr>
      </w:pPr>
      <w:r>
        <w:rPr>
          <w:rFonts w:ascii="微软雅黑" w:hAnsi="微软雅黑" w:eastAsia="微软雅黑"/>
          <w:sz w:val="24"/>
          <w:szCs w:val="28"/>
        </w:rPr>
        <w:tab/>
      </w:r>
      <w:r>
        <w:rPr>
          <w:rFonts w:ascii="微软雅黑" w:hAnsi="微软雅黑" w:eastAsia="微软雅黑"/>
          <w:sz w:val="24"/>
          <w:szCs w:val="28"/>
        </w:rPr>
        <w:t>⑶</w:t>
      </w:r>
      <w:r>
        <w:rPr>
          <w:rFonts w:hint="eastAsia" w:ascii="微软雅黑" w:hAnsi="微软雅黑" w:eastAsia="微软雅黑"/>
          <w:sz w:val="24"/>
          <w:szCs w:val="28"/>
        </w:rPr>
        <w:t>、对累计无故缺席达到5次/月以上，累计迟到或早退1</w:t>
      </w:r>
      <w:r>
        <w:rPr>
          <w:rFonts w:ascii="微软雅黑" w:hAnsi="微软雅黑" w:eastAsia="微软雅黑"/>
          <w:sz w:val="24"/>
          <w:szCs w:val="28"/>
        </w:rPr>
        <w:t>5</w:t>
      </w:r>
      <w:r>
        <w:rPr>
          <w:rFonts w:hint="eastAsia" w:ascii="微软雅黑" w:hAnsi="微软雅黑" w:eastAsia="微软雅黑"/>
          <w:sz w:val="24"/>
          <w:szCs w:val="28"/>
        </w:rPr>
        <w:t>次/月以上的人员，扣减</w:t>
      </w:r>
      <w:r>
        <w:rPr>
          <w:rFonts w:ascii="微软雅黑" w:hAnsi="微软雅黑" w:eastAsia="微软雅黑"/>
          <w:sz w:val="24"/>
          <w:szCs w:val="28"/>
        </w:rPr>
        <w:t>10%</w:t>
      </w:r>
      <w:r>
        <w:rPr>
          <w:rFonts w:hint="eastAsia" w:ascii="微软雅黑" w:hAnsi="微软雅黑" w:eastAsia="微软雅黑"/>
          <w:sz w:val="24"/>
          <w:szCs w:val="28"/>
        </w:rPr>
        <w:t>绩效，并推迟绩效5</w:t>
      </w:r>
      <w:r>
        <w:rPr>
          <w:rFonts w:ascii="微软雅黑" w:hAnsi="微软雅黑" w:eastAsia="微软雅黑"/>
          <w:sz w:val="24"/>
          <w:szCs w:val="28"/>
        </w:rPr>
        <w:t>0%</w:t>
      </w:r>
      <w:r>
        <w:rPr>
          <w:rFonts w:hint="eastAsia" w:ascii="微软雅黑" w:hAnsi="微软雅黑" w:eastAsia="微软雅黑"/>
          <w:sz w:val="24"/>
          <w:szCs w:val="28"/>
        </w:rPr>
        <w:t>至次月发放。</w:t>
      </w:r>
    </w:p>
    <w:p w14:paraId="63EE2B35">
      <w:pPr>
        <w:ind w:left="1320" w:hanging="1320" w:hangingChars="550"/>
        <w:rPr>
          <w:rFonts w:hint="eastAsia" w:ascii="微软雅黑" w:hAnsi="微软雅黑" w:eastAsia="微软雅黑"/>
          <w:sz w:val="24"/>
          <w:szCs w:val="28"/>
        </w:rPr>
      </w:pPr>
      <w:r>
        <w:rPr>
          <w:rFonts w:ascii="微软雅黑" w:hAnsi="微软雅黑" w:eastAsia="微软雅黑"/>
          <w:sz w:val="24"/>
          <w:szCs w:val="28"/>
        </w:rPr>
        <w:tab/>
      </w:r>
      <w:r>
        <w:rPr>
          <w:rFonts w:ascii="微软雅黑" w:hAnsi="微软雅黑" w:eastAsia="微软雅黑"/>
          <w:sz w:val="24"/>
          <w:szCs w:val="28"/>
        </w:rPr>
        <w:t>⑷</w:t>
      </w:r>
      <w:r>
        <w:rPr>
          <w:rFonts w:hint="eastAsia" w:ascii="微软雅黑" w:hAnsi="微软雅黑" w:eastAsia="微软雅黑"/>
          <w:sz w:val="24"/>
          <w:szCs w:val="28"/>
        </w:rPr>
        <w:t>、对累计无故缺席达到1</w:t>
      </w:r>
      <w:r>
        <w:rPr>
          <w:rFonts w:ascii="微软雅黑" w:hAnsi="微软雅黑" w:eastAsia="微软雅黑"/>
          <w:sz w:val="24"/>
          <w:szCs w:val="28"/>
        </w:rPr>
        <w:t>0</w:t>
      </w:r>
      <w:r>
        <w:rPr>
          <w:rFonts w:hint="eastAsia" w:ascii="微软雅黑" w:hAnsi="微软雅黑" w:eastAsia="微软雅黑"/>
          <w:sz w:val="24"/>
          <w:szCs w:val="28"/>
        </w:rPr>
        <w:t>次/月以上的人员，暂停其在公司的执业资格，由负责人进行劝诫谈话，对拒不改正的上报公司予以除名，并注销其在公司的执业注册。</w:t>
      </w:r>
    </w:p>
    <w:p w14:paraId="688EB7DA">
      <w:pPr>
        <w:ind w:left="1320" w:hanging="1320" w:hangingChars="550"/>
        <w:rPr>
          <w:rFonts w:ascii="微软雅黑" w:hAnsi="微软雅黑" w:eastAsia="微软雅黑"/>
          <w:sz w:val="24"/>
          <w:szCs w:val="28"/>
        </w:rPr>
      </w:pPr>
      <w:r>
        <w:rPr>
          <w:rFonts w:hint="eastAsia" w:ascii="微软雅黑" w:hAnsi="微软雅黑" w:eastAsia="微软雅黑"/>
          <w:sz w:val="24"/>
          <w:szCs w:val="28"/>
        </w:rPr>
        <w:t>第 十三 条 各级机构所辖经纪人必须在公司进行注册经纪人登记。新入职经纪人应在1</w:t>
      </w:r>
      <w:r>
        <w:rPr>
          <w:rFonts w:ascii="微软雅黑" w:hAnsi="微软雅黑" w:eastAsia="微软雅黑"/>
          <w:sz w:val="24"/>
          <w:szCs w:val="28"/>
        </w:rPr>
        <w:t>5</w:t>
      </w:r>
      <w:r>
        <w:rPr>
          <w:rFonts w:hint="eastAsia" w:ascii="微软雅黑" w:hAnsi="微软雅黑" w:eastAsia="微软雅黑"/>
          <w:sz w:val="24"/>
          <w:szCs w:val="28"/>
        </w:rPr>
        <w:t>天内完成提交资料及注册手续，未在公司完成经纪人注册的，一律不得以公司名义开展销售活动。</w:t>
      </w:r>
    </w:p>
    <w:p w14:paraId="40FE3A80">
      <w:pPr>
        <w:ind w:left="1320" w:hanging="1320" w:hangingChars="550"/>
        <w:rPr>
          <w:rFonts w:ascii="微软雅黑" w:hAnsi="微软雅黑" w:eastAsia="微软雅黑"/>
          <w:sz w:val="24"/>
          <w:szCs w:val="28"/>
        </w:rPr>
      </w:pPr>
      <w:r>
        <w:rPr>
          <w:rFonts w:hint="eastAsia" w:ascii="微软雅黑" w:hAnsi="微软雅黑" w:eastAsia="微软雅黑"/>
          <w:sz w:val="24"/>
          <w:szCs w:val="28"/>
        </w:rPr>
        <w:t>第 十四 条 各级机构不得接受未在本公司注册、或已注销在本公司注册登记的经纪人所达成的保险销售业务，不得以任何形式向非本公司注册经纪人支付保险销售佣金。</w:t>
      </w:r>
    </w:p>
    <w:p w14:paraId="40746E6B">
      <w:pPr>
        <w:ind w:left="1320" w:hanging="1320" w:hangingChars="550"/>
        <w:rPr>
          <w:rFonts w:ascii="微软雅黑" w:hAnsi="微软雅黑" w:eastAsia="微软雅黑"/>
          <w:sz w:val="24"/>
          <w:szCs w:val="28"/>
        </w:rPr>
      </w:pPr>
      <w:r>
        <w:rPr>
          <w:rFonts w:hint="eastAsia" w:ascii="微软雅黑" w:hAnsi="微软雅黑" w:eastAsia="微软雅黑"/>
          <w:sz w:val="24"/>
          <w:szCs w:val="28"/>
        </w:rPr>
        <w:t>第 十五 条 各级机构与各保险公司、同业公司、销售渠道进行业务合作，必须签署相应的合作协议，并报公司总部备案。业务合作协议的内容应当包括且不限于：各合作方的基础信息、合作具体事项、业务细节及分工、协议各方权利与义务、成本分摊与收益分配方式、协议期限及终止条件等多方面内容。</w:t>
      </w:r>
    </w:p>
    <w:p w14:paraId="542FE91F">
      <w:pPr>
        <w:ind w:left="1320" w:hanging="1320" w:hangingChars="550"/>
        <w:rPr>
          <w:rFonts w:ascii="微软雅黑" w:hAnsi="微软雅黑" w:eastAsia="微软雅黑"/>
          <w:sz w:val="24"/>
          <w:szCs w:val="28"/>
        </w:rPr>
      </w:pPr>
      <w:r>
        <w:rPr>
          <w:rFonts w:hint="eastAsia" w:ascii="微软雅黑" w:hAnsi="微软雅黑" w:eastAsia="微软雅黑"/>
          <w:sz w:val="24"/>
          <w:szCs w:val="28"/>
        </w:rPr>
        <w:t>第 十六 条 各级机构向总部报备的各类保险业务合作协议中，涉及具体保险产品销售的，必须明确约定相关产品的佣金比例。对于协议中佣金比例未约定或约定不明的，总部将不予批准涉及相关产品的营销方案与佣金发放。</w:t>
      </w:r>
    </w:p>
    <w:p w14:paraId="1282E44A">
      <w:pPr>
        <w:ind w:left="1320" w:hanging="1320" w:hangingChars="550"/>
        <w:rPr>
          <w:rFonts w:hint="eastAsia" w:ascii="微软雅黑" w:hAnsi="微软雅黑" w:eastAsia="微软雅黑"/>
          <w:sz w:val="24"/>
          <w:szCs w:val="28"/>
        </w:rPr>
      </w:pPr>
      <w:r>
        <w:rPr>
          <w:rFonts w:hint="eastAsia" w:ascii="微软雅黑" w:hAnsi="微软雅黑" w:eastAsia="微软雅黑"/>
          <w:sz w:val="24"/>
          <w:szCs w:val="28"/>
        </w:rPr>
        <w:t>第 十七 条 各级机构擅自开展未经总部备案的保险产品销售，一经发现，将对该机构负责人采取责令改正、警告、通报批评处分，情节严重或造成恶劣影响的，予以免职、公司除名、通报监管等处理，造成公司经济损失的，追究其个人赔偿责任。</w:t>
      </w:r>
    </w:p>
    <w:p w14:paraId="3DA75185">
      <w:pPr>
        <w:ind w:left="1320" w:hanging="1320" w:hangingChars="550"/>
        <w:rPr>
          <w:rFonts w:ascii="微软雅黑" w:hAnsi="微软雅黑" w:eastAsia="微软雅黑"/>
          <w:sz w:val="24"/>
          <w:szCs w:val="28"/>
        </w:rPr>
      </w:pPr>
      <w:r>
        <w:rPr>
          <w:rFonts w:hint="eastAsia" w:ascii="微软雅黑" w:hAnsi="微软雅黑" w:eastAsia="微软雅黑"/>
          <w:sz w:val="24"/>
          <w:szCs w:val="28"/>
        </w:rPr>
        <w:t>第 十八 条 各级机构除开展经公司备案的保险产品销售外，未经公司总经理室批准，任何机构与个人不得以任何名义进行非保险金融产品的销售活动；不得在业务活动中介绍非保险金融产品；不得与非保险金融机构组织联合营销活动。</w:t>
      </w:r>
    </w:p>
    <w:p w14:paraId="19A2982B">
      <w:pPr>
        <w:ind w:left="1320" w:hanging="1320" w:hangingChars="550"/>
        <w:rPr>
          <w:rFonts w:ascii="微软雅黑" w:hAnsi="微软雅黑" w:eastAsia="微软雅黑"/>
          <w:sz w:val="24"/>
          <w:szCs w:val="28"/>
        </w:rPr>
      </w:pPr>
      <w:r>
        <w:rPr>
          <w:rFonts w:hint="eastAsia" w:ascii="微软雅黑" w:hAnsi="微软雅黑" w:eastAsia="微软雅黑"/>
          <w:sz w:val="24"/>
          <w:szCs w:val="28"/>
        </w:rPr>
        <w:t>第 十九 条 各级机构及个人不得以任何形式参与非法揽储、非法融资、网络借贷、P</w:t>
      </w:r>
      <w:r>
        <w:rPr>
          <w:rFonts w:ascii="微软雅黑" w:hAnsi="微软雅黑" w:eastAsia="微软雅黑"/>
          <w:sz w:val="24"/>
          <w:szCs w:val="28"/>
        </w:rPr>
        <w:t>2</w:t>
      </w:r>
      <w:r>
        <w:rPr>
          <w:rFonts w:hint="eastAsia" w:ascii="微软雅黑" w:hAnsi="微软雅黑" w:eastAsia="微软雅黑"/>
          <w:sz w:val="24"/>
          <w:szCs w:val="28"/>
        </w:rPr>
        <w:t>P及传销诈骗、网络赌博、网络贷款等违法金融活动，一经发现将直接予以除名，并向有关职能部门举报。</w:t>
      </w:r>
    </w:p>
    <w:p w14:paraId="05C23574">
      <w:pPr>
        <w:ind w:left="1320" w:hanging="1320" w:hangingChars="550"/>
        <w:rPr>
          <w:rFonts w:ascii="微软雅黑" w:hAnsi="微软雅黑" w:eastAsia="微软雅黑"/>
          <w:sz w:val="24"/>
          <w:szCs w:val="28"/>
        </w:rPr>
      </w:pPr>
      <w:r>
        <w:rPr>
          <w:rFonts w:hint="eastAsia" w:ascii="微软雅黑" w:hAnsi="微软雅黑" w:eastAsia="微软雅黑"/>
          <w:sz w:val="24"/>
          <w:szCs w:val="28"/>
        </w:rPr>
        <w:t>第 二十 条 各级机构所制订的年度业务计划、阶段性营销方案、重点产品或重点项目营销方案，预期业务规模人身险</w:t>
      </w:r>
      <w:r>
        <w:rPr>
          <w:rFonts w:ascii="微软雅黑" w:hAnsi="微软雅黑" w:eastAsia="微软雅黑"/>
          <w:sz w:val="24"/>
          <w:szCs w:val="28"/>
        </w:rPr>
        <w:t>1000</w:t>
      </w:r>
      <w:r>
        <w:rPr>
          <w:rFonts w:hint="eastAsia" w:ascii="微软雅黑" w:hAnsi="微软雅黑" w:eastAsia="微软雅黑"/>
          <w:sz w:val="24"/>
          <w:szCs w:val="28"/>
        </w:rPr>
        <w:t>万、财产险（不含车险）5</w:t>
      </w:r>
      <w:r>
        <w:rPr>
          <w:rFonts w:ascii="微软雅黑" w:hAnsi="微软雅黑" w:eastAsia="微软雅黑"/>
          <w:sz w:val="24"/>
          <w:szCs w:val="28"/>
        </w:rPr>
        <w:t>00</w:t>
      </w:r>
      <w:r>
        <w:rPr>
          <w:rFonts w:hint="eastAsia" w:ascii="微软雅黑" w:hAnsi="微软雅黑" w:eastAsia="微软雅黑"/>
          <w:sz w:val="24"/>
          <w:szCs w:val="28"/>
        </w:rPr>
        <w:t>万及以上的方案应当报总经理室审批。</w:t>
      </w:r>
    </w:p>
    <w:p w14:paraId="4F2014AF">
      <w:pPr>
        <w:ind w:left="1320" w:hanging="1320" w:hangingChars="550"/>
        <w:rPr>
          <w:rFonts w:ascii="微软雅黑" w:hAnsi="微软雅黑" w:eastAsia="微软雅黑"/>
          <w:sz w:val="24"/>
          <w:szCs w:val="28"/>
        </w:rPr>
      </w:pPr>
      <w:r>
        <w:rPr>
          <w:rFonts w:hint="eastAsia" w:ascii="微软雅黑" w:hAnsi="微软雅黑" w:eastAsia="微软雅黑"/>
          <w:sz w:val="24"/>
          <w:szCs w:val="28"/>
        </w:rPr>
        <w:t>第二十一条 各级机构拟开展的业务方案中涉及新型人身保险、信用履约保证产品的必须上报总经理室并批准，且相应机构全员通过相关产品与合规培训后，方可开展。</w:t>
      </w:r>
    </w:p>
    <w:p w14:paraId="7B29E642">
      <w:pPr>
        <w:ind w:left="1320" w:hanging="1320" w:hangingChars="550"/>
        <w:rPr>
          <w:rFonts w:ascii="微软雅黑" w:hAnsi="微软雅黑" w:eastAsia="微软雅黑"/>
          <w:sz w:val="24"/>
          <w:szCs w:val="28"/>
        </w:rPr>
      </w:pPr>
      <w:r>
        <w:rPr>
          <w:rFonts w:hint="eastAsia" w:ascii="微软雅黑" w:hAnsi="微软雅黑" w:eastAsia="微软雅黑"/>
          <w:sz w:val="24"/>
          <w:szCs w:val="28"/>
        </w:rPr>
        <w:t>第二十二条 除经总经理室授权之外，各级分支机构和业务部门不得擅自以任何形式开展保险电话销售业务、互联网保险业务。</w:t>
      </w:r>
    </w:p>
    <w:p w14:paraId="6C918192">
      <w:pPr>
        <w:ind w:left="1320" w:hanging="1320" w:hangingChars="550"/>
        <w:rPr>
          <w:rFonts w:ascii="微软雅黑" w:hAnsi="微软雅黑" w:eastAsia="微软雅黑"/>
          <w:sz w:val="24"/>
          <w:szCs w:val="28"/>
        </w:rPr>
      </w:pPr>
      <w:r>
        <w:rPr>
          <w:rFonts w:hint="eastAsia" w:ascii="微软雅黑" w:hAnsi="微软雅黑" w:eastAsia="微软雅黑"/>
          <w:sz w:val="24"/>
          <w:szCs w:val="28"/>
        </w:rPr>
        <w:t>第二十三条 再保险经纪业务由公司总部直接管理，单独建立业务档案与财务账目，各级分支机构如果涉及再保险中介业务的，必须上报总部进行业务对接，不得自行开展再保险经纪业务。</w:t>
      </w:r>
    </w:p>
    <w:p w14:paraId="07FCDA05">
      <w:pPr>
        <w:ind w:left="1320" w:hanging="1320" w:hangingChars="550"/>
        <w:rPr>
          <w:rFonts w:ascii="微软雅黑" w:hAnsi="微软雅黑" w:eastAsia="微软雅黑"/>
          <w:sz w:val="24"/>
          <w:szCs w:val="28"/>
        </w:rPr>
      </w:pPr>
      <w:r>
        <w:rPr>
          <w:rFonts w:hint="eastAsia" w:ascii="微软雅黑" w:hAnsi="微软雅黑" w:eastAsia="微软雅黑"/>
          <w:sz w:val="24"/>
          <w:szCs w:val="28"/>
        </w:rPr>
        <w:t>第二十四条 各级机构凡由总经理室授权开展，或经总经理室批准开展的业务，在业务整体结束之前，必须每月提交相关业务的经营报告，报告内容应当包括：业务进展概况、保费规模和保单数量、退保率与继续率、问题或投诉保单分析、合作方反馈等情况。</w:t>
      </w:r>
    </w:p>
    <w:p w14:paraId="4F2F59F9">
      <w:pPr>
        <w:ind w:left="1320" w:hanging="1320" w:hangingChars="550"/>
        <w:rPr>
          <w:rFonts w:ascii="微软雅黑" w:hAnsi="微软雅黑" w:eastAsia="微软雅黑"/>
          <w:sz w:val="24"/>
          <w:szCs w:val="28"/>
        </w:rPr>
      </w:pPr>
      <w:r>
        <w:rPr>
          <w:rFonts w:hint="eastAsia" w:ascii="微软雅黑" w:hAnsi="微软雅黑" w:eastAsia="微软雅黑"/>
          <w:sz w:val="24"/>
          <w:szCs w:val="28"/>
        </w:rPr>
        <w:t>第二十五条 各级机构在保险销售过程中的全部业务资金往来，必须通过公司财务系统的对公账户进行操作，一律不得现金收付。特殊情形，如受客户委托代收保费或代领退保金、保险金的，在提供客户亲笔签名或印鉴的委托书的前提下，报请总经理室与财务中心会签之后，单独设立专门账户收付相关款项。</w:t>
      </w:r>
    </w:p>
    <w:p w14:paraId="33C64625">
      <w:pPr>
        <w:ind w:left="1320" w:hanging="1320" w:hangingChars="550"/>
        <w:rPr>
          <w:rFonts w:ascii="微软雅黑" w:hAnsi="微软雅黑" w:eastAsia="微软雅黑"/>
          <w:sz w:val="24"/>
          <w:szCs w:val="28"/>
        </w:rPr>
      </w:pPr>
      <w:r>
        <w:rPr>
          <w:rFonts w:hint="eastAsia" w:ascii="微软雅黑" w:hAnsi="微软雅黑" w:eastAsia="微软雅黑"/>
          <w:sz w:val="24"/>
          <w:szCs w:val="28"/>
        </w:rPr>
        <w:t>第二十六条 各级机构业务活动中销售数据，必须在业务达成的同时录入业务系统，并确保数据的准确、完整，能够与财务数据相对应。所有销售活动形成的业务资料及档案应当按照《东方大地保险经纪有限公司信息数据和业务档案管理规定》妥善保管。</w:t>
      </w:r>
    </w:p>
    <w:p w14:paraId="462F7272">
      <w:pPr>
        <w:ind w:left="1320" w:hanging="1320" w:hangingChars="550"/>
        <w:rPr>
          <w:rFonts w:ascii="微软雅黑" w:hAnsi="微软雅黑" w:eastAsia="微软雅黑"/>
          <w:sz w:val="24"/>
          <w:szCs w:val="28"/>
        </w:rPr>
      </w:pPr>
      <w:r>
        <w:rPr>
          <w:rFonts w:hint="eastAsia" w:ascii="微软雅黑" w:hAnsi="微软雅黑" w:eastAsia="微软雅黑"/>
          <w:sz w:val="24"/>
          <w:szCs w:val="28"/>
        </w:rPr>
        <w:t>第二十七条 各级机构必须严格按照《东方大地保险经纪有限公司网络系统安全管理规定》使用公司业务、财务相关系统，严格执行业务核心系统、财务流程与规范。</w:t>
      </w:r>
    </w:p>
    <w:p w14:paraId="4C8EF4B3">
      <w:pPr>
        <w:ind w:left="1320" w:hanging="1320" w:hangingChars="550"/>
        <w:rPr>
          <w:rFonts w:ascii="微软雅黑" w:hAnsi="微软雅黑" w:eastAsia="微软雅黑"/>
          <w:sz w:val="24"/>
          <w:szCs w:val="28"/>
        </w:rPr>
      </w:pPr>
      <w:r>
        <w:rPr>
          <w:rFonts w:hint="eastAsia" w:ascii="微软雅黑" w:hAnsi="微软雅黑" w:eastAsia="微软雅黑"/>
          <w:sz w:val="24"/>
          <w:szCs w:val="28"/>
        </w:rPr>
        <w:t>第二十八条 各级机构的销售业务过程必须按要求落实销售行为回溯管理的相关工作要求，做好销售过程的记录和存档管理。</w:t>
      </w:r>
    </w:p>
    <w:p w14:paraId="7A306033">
      <w:pPr>
        <w:ind w:left="1320" w:hanging="1320" w:hangingChars="550"/>
        <w:rPr>
          <w:rFonts w:ascii="微软雅黑" w:hAnsi="微软雅黑" w:eastAsia="微软雅黑"/>
          <w:sz w:val="24"/>
          <w:szCs w:val="28"/>
        </w:rPr>
      </w:pPr>
      <w:r>
        <w:rPr>
          <w:rFonts w:hint="eastAsia" w:ascii="微软雅黑" w:hAnsi="微软雅黑" w:eastAsia="微软雅黑"/>
          <w:sz w:val="24"/>
          <w:szCs w:val="28"/>
        </w:rPr>
        <w:t>第二十九条 各级机构的开展业务活动的区域以机构注册地的保险监管行政区域为限，不得跨区域开展销售活动，也不得为客户销售或推荐尚未在本区域开展业务的保险公司的产品。</w:t>
      </w:r>
    </w:p>
    <w:p w14:paraId="2850E2B9">
      <w:pPr>
        <w:ind w:left="1320" w:hanging="1320" w:hangingChars="550"/>
        <w:rPr>
          <w:rFonts w:ascii="微软雅黑" w:hAnsi="微软雅黑" w:eastAsia="微软雅黑"/>
          <w:sz w:val="24"/>
          <w:szCs w:val="28"/>
        </w:rPr>
      </w:pPr>
      <w:r>
        <w:rPr>
          <w:rFonts w:hint="eastAsia" w:ascii="微软雅黑" w:hAnsi="微软雅黑" w:eastAsia="微软雅黑"/>
          <w:sz w:val="24"/>
          <w:szCs w:val="28"/>
        </w:rPr>
        <w:t>第 三十 条 各级机构的相关业务数据及账目，应当按照所在地</w:t>
      </w:r>
      <w:r>
        <w:rPr>
          <w:rFonts w:hint="eastAsia" w:ascii="微软雅黑" w:hAnsi="微软雅黑" w:eastAsia="微软雅黑"/>
          <w:sz w:val="24"/>
          <w:szCs w:val="28"/>
          <w:lang w:val="en-US" w:eastAsia="zh-CN"/>
        </w:rPr>
        <w:t>国家金融监督管理总局及其派出机构</w:t>
      </w:r>
      <w:r>
        <w:rPr>
          <w:rFonts w:hint="eastAsia" w:ascii="微软雅黑" w:hAnsi="微软雅黑" w:eastAsia="微软雅黑"/>
          <w:sz w:val="24"/>
          <w:szCs w:val="28"/>
        </w:rPr>
        <w:t>所要求的周期、时限内，按照规定的格式形成完整、准确的报告文件进行上报。如有临时监管报告要求，机构统计数据确实存在困难的，应当于接到通知当日，向信息技术部门申请协助，机构应当于5个工作日内完成数据汇总统计工作，1</w:t>
      </w:r>
      <w:r>
        <w:rPr>
          <w:rFonts w:ascii="微软雅黑" w:hAnsi="微软雅黑" w:eastAsia="微软雅黑"/>
          <w:sz w:val="24"/>
          <w:szCs w:val="28"/>
        </w:rPr>
        <w:t>0</w:t>
      </w:r>
      <w:r>
        <w:rPr>
          <w:rFonts w:hint="eastAsia" w:ascii="微软雅黑" w:hAnsi="微软雅黑" w:eastAsia="微软雅黑"/>
          <w:sz w:val="24"/>
          <w:szCs w:val="28"/>
        </w:rPr>
        <w:t>日内完成报告撰写和汇报。如遇紧急情况，可向总经理室申请总部协调，确保上报工作在监管部门要求的时限内完成。</w:t>
      </w:r>
    </w:p>
    <w:p w14:paraId="26A97B5E">
      <w:pPr>
        <w:ind w:left="1320" w:hanging="1320" w:hangingChars="550"/>
        <w:rPr>
          <w:rFonts w:ascii="微软雅黑" w:hAnsi="微软雅黑" w:eastAsia="微软雅黑"/>
          <w:sz w:val="24"/>
          <w:szCs w:val="28"/>
        </w:rPr>
      </w:pPr>
      <w:r>
        <w:rPr>
          <w:rFonts w:hint="eastAsia" w:ascii="微软雅黑" w:hAnsi="微软雅黑" w:eastAsia="微软雅黑"/>
          <w:sz w:val="24"/>
          <w:szCs w:val="28"/>
        </w:rPr>
        <w:t>第三十一条 各级机构在开展业务销售的过程中，必须执行公司发布相关反洗钱制度，履行相关业务流程客户身份识别与反洗钱义务，各级机构必须指定专人为反洗钱工作联络人，并报总部备案。</w:t>
      </w:r>
    </w:p>
    <w:p w14:paraId="505D5BC0">
      <w:pPr>
        <w:ind w:left="1320" w:hanging="1320" w:hangingChars="550"/>
        <w:rPr>
          <w:rFonts w:ascii="微软雅黑" w:hAnsi="微软雅黑" w:eastAsia="微软雅黑"/>
          <w:sz w:val="24"/>
          <w:szCs w:val="28"/>
        </w:rPr>
      </w:pPr>
      <w:r>
        <w:rPr>
          <w:rFonts w:hint="eastAsia" w:ascii="微软雅黑" w:hAnsi="微软雅黑" w:eastAsia="微软雅黑"/>
          <w:sz w:val="24"/>
          <w:szCs w:val="28"/>
        </w:rPr>
        <w:t>第三十二条 各级机构在与非金融机构开展业务合作的过程中，不得将客户身份识别及反洗钱相关职能交予合作方执行。与其它金融机构开展业务合作的，除非可以通过双方现有的技术合作途径立即获取完整的客户交易信息及相关资料，否则仍应当自行执行公司发布的反洗钱的业务流程。</w:t>
      </w:r>
    </w:p>
    <w:p w14:paraId="3F7683D3">
      <w:pPr>
        <w:ind w:left="1320" w:hanging="1320" w:hangingChars="550"/>
        <w:rPr>
          <w:rFonts w:ascii="微软雅黑" w:hAnsi="微软雅黑" w:eastAsia="微软雅黑"/>
          <w:sz w:val="24"/>
          <w:szCs w:val="28"/>
        </w:rPr>
      </w:pPr>
      <w:r>
        <w:rPr>
          <w:rFonts w:hint="eastAsia" w:ascii="微软雅黑" w:hAnsi="微软雅黑" w:eastAsia="微软雅黑"/>
          <w:sz w:val="24"/>
          <w:szCs w:val="28"/>
        </w:rPr>
        <w:t>第三十三条 省级分支机构至少每半年组织一次销售总结会议，阶段性分析业务情况，调整部署下一阶段销售工作，并形成会议记录备案。省级机构负责人应当按年度就所负责的省级区域的整体销售与经营情况形成《年度经营报告》并向总经理室汇报。非省级分支机构的负责人，应当按年度就所负责的机构的销售与经营情况制作《年度总结》向其上一级直接负责人汇报。</w:t>
      </w:r>
    </w:p>
    <w:p w14:paraId="6155068B">
      <w:pPr>
        <w:ind w:left="1320" w:hanging="1321" w:hangingChars="550"/>
        <w:jc w:val="center"/>
        <w:rPr>
          <w:rFonts w:ascii="微软雅黑" w:hAnsi="微软雅黑" w:eastAsia="微软雅黑"/>
          <w:b/>
          <w:bCs/>
          <w:sz w:val="24"/>
          <w:szCs w:val="28"/>
        </w:rPr>
      </w:pPr>
      <w:r>
        <w:rPr>
          <w:rFonts w:hint="eastAsia" w:ascii="微软雅黑" w:hAnsi="微软雅黑" w:eastAsia="微软雅黑"/>
          <w:b/>
          <w:bCs/>
          <w:sz w:val="24"/>
          <w:szCs w:val="28"/>
        </w:rPr>
        <w:t>第三部分 经纪人销售行为管理</w:t>
      </w:r>
    </w:p>
    <w:p w14:paraId="41F06DB0">
      <w:pPr>
        <w:ind w:left="1320" w:hanging="1320" w:hangingChars="550"/>
        <w:rPr>
          <w:rFonts w:ascii="微软雅黑" w:hAnsi="微软雅黑" w:eastAsia="微软雅黑"/>
          <w:sz w:val="24"/>
          <w:szCs w:val="28"/>
        </w:rPr>
      </w:pPr>
      <w:r>
        <w:rPr>
          <w:rFonts w:hint="eastAsia" w:ascii="微软雅黑" w:hAnsi="微软雅黑" w:eastAsia="微软雅黑"/>
          <w:sz w:val="24"/>
          <w:szCs w:val="28"/>
        </w:rPr>
        <w:t>第三十四条 各级机构所辖经纪人开展业务销售活动应当恪守诚实信用、真诚服务的宗旨，展业过程必须携带、出示公司执业证。各机构所辖财务人员、与理赔、核保等岗位相关的人员不得直接参与保险销售和产品推介活动。</w:t>
      </w:r>
    </w:p>
    <w:p w14:paraId="43EEC702">
      <w:pPr>
        <w:ind w:left="1320" w:hanging="1320" w:hangingChars="550"/>
        <w:rPr>
          <w:rFonts w:ascii="微软雅黑" w:hAnsi="微软雅黑" w:eastAsia="微软雅黑"/>
          <w:sz w:val="24"/>
          <w:szCs w:val="28"/>
        </w:rPr>
      </w:pPr>
      <w:r>
        <w:rPr>
          <w:rFonts w:hint="eastAsia" w:ascii="微软雅黑" w:hAnsi="微软雅黑" w:eastAsia="微软雅黑"/>
          <w:sz w:val="24"/>
          <w:szCs w:val="28"/>
        </w:rPr>
        <w:t>第三十五条 经纪人在销售过程中，如受客户委托进行保险方案制订和谈判、代理保全或理赔事项，必须持有客户亲自签署的委托书，载明委托事项及委托时限。</w:t>
      </w:r>
    </w:p>
    <w:p w14:paraId="66FEE2EF">
      <w:pPr>
        <w:ind w:left="1320" w:hanging="1320" w:hangingChars="550"/>
        <w:rPr>
          <w:rFonts w:ascii="微软雅黑" w:hAnsi="微软雅黑" w:eastAsia="微软雅黑"/>
          <w:sz w:val="24"/>
          <w:szCs w:val="28"/>
        </w:rPr>
      </w:pPr>
      <w:r>
        <w:rPr>
          <w:rFonts w:hint="eastAsia" w:ascii="微软雅黑" w:hAnsi="微软雅黑" w:eastAsia="微软雅黑"/>
          <w:sz w:val="24"/>
          <w:szCs w:val="28"/>
        </w:rPr>
        <w:t>第三十六条 经纪人开展保险销售及保险服务过程中的保费、服务费收取，必须按照公司统一的缴费方式操作。未经总部批准，经纪人不得代收客户保险费、代领退保金、满期金或保险金。经纪人销售过程中所产生公务报销费用、佣金等必须通过公司账户支付至经纪人本人实名账户，不得采用现金支付，具体事项以公司财务制度为准。</w:t>
      </w:r>
    </w:p>
    <w:p w14:paraId="606F2FF8">
      <w:pPr>
        <w:ind w:left="1320" w:hanging="1320" w:hangingChars="550"/>
        <w:rPr>
          <w:rFonts w:ascii="微软雅黑" w:hAnsi="微软雅黑" w:eastAsia="微软雅黑"/>
          <w:sz w:val="24"/>
          <w:szCs w:val="28"/>
        </w:rPr>
      </w:pPr>
      <w:r>
        <w:rPr>
          <w:rFonts w:hint="eastAsia" w:ascii="微软雅黑" w:hAnsi="微软雅黑" w:eastAsia="微软雅黑"/>
          <w:sz w:val="24"/>
          <w:szCs w:val="28"/>
        </w:rPr>
        <w:t>第三十七条 经纪人向投保人推介保险产品时，应当如实说明相应保险合同的承保条件、保险责任、合同犹豫期与等待期、除外责任、理赔方式、受益人等重要信息，重点解释保险责任定义、除外责任及免责条款、缴费方式及失效风险等确保投保人正确理解保险合同，保障投保人与被保险人的合法权益。</w:t>
      </w:r>
    </w:p>
    <w:p w14:paraId="53813F74">
      <w:pPr>
        <w:ind w:left="1320" w:hanging="1320" w:hangingChars="550"/>
        <w:rPr>
          <w:rFonts w:ascii="微软雅黑" w:hAnsi="微软雅黑" w:eastAsia="微软雅黑"/>
          <w:sz w:val="24"/>
          <w:szCs w:val="28"/>
        </w:rPr>
      </w:pPr>
      <w:r>
        <w:rPr>
          <w:rFonts w:hint="eastAsia" w:ascii="微软雅黑" w:hAnsi="微软雅黑" w:eastAsia="微软雅黑"/>
          <w:sz w:val="24"/>
          <w:szCs w:val="28"/>
        </w:rPr>
        <w:t>第三十八条 经纪人在保险产品销售过程中，应当核实保险标的、保险利益的真实性。经纪人应当协助投保人履行“如实告知”义务，向投保人明确说明履行“如实告知”义务的意义，及未履行“如实告知”义务可能产生的后果与风险。例如：</w:t>
      </w:r>
    </w:p>
    <w:p w14:paraId="40198ABE">
      <w:pPr>
        <w:ind w:left="1320" w:hanging="1320" w:hangingChars="550"/>
        <w:rPr>
          <w:rFonts w:ascii="微软雅黑" w:hAnsi="微软雅黑" w:eastAsia="微软雅黑"/>
          <w:sz w:val="24"/>
          <w:szCs w:val="28"/>
        </w:rPr>
      </w:pPr>
      <w:r>
        <w:rPr>
          <w:rFonts w:ascii="微软雅黑" w:hAnsi="微软雅黑" w:eastAsia="微软雅黑"/>
          <w:sz w:val="24"/>
          <w:szCs w:val="28"/>
        </w:rPr>
        <w:tab/>
      </w:r>
      <w:r>
        <w:rPr>
          <w:rFonts w:ascii="微软雅黑" w:hAnsi="微软雅黑" w:eastAsia="微软雅黑"/>
          <w:sz w:val="24"/>
          <w:szCs w:val="28"/>
        </w:rPr>
        <w:t>⑴</w:t>
      </w:r>
      <w:r>
        <w:rPr>
          <w:rFonts w:hint="eastAsia" w:ascii="微软雅黑" w:hAnsi="微软雅黑" w:eastAsia="微软雅黑"/>
          <w:sz w:val="24"/>
          <w:szCs w:val="28"/>
        </w:rPr>
        <w:t>、人身保险业务中：投保人、被保险人的年龄，性别和健康状况，职业状况，财务状况，既往保险情况等；</w:t>
      </w:r>
    </w:p>
    <w:p w14:paraId="4FCE0E50">
      <w:pPr>
        <w:ind w:left="1320" w:hanging="1320" w:hangingChars="550"/>
        <w:rPr>
          <w:rFonts w:hint="eastAsia" w:ascii="微软雅黑" w:hAnsi="微软雅黑" w:eastAsia="微软雅黑"/>
          <w:sz w:val="24"/>
          <w:szCs w:val="28"/>
        </w:rPr>
      </w:pPr>
      <w:r>
        <w:rPr>
          <w:rFonts w:ascii="微软雅黑" w:hAnsi="微软雅黑" w:eastAsia="微软雅黑"/>
          <w:sz w:val="24"/>
          <w:szCs w:val="28"/>
        </w:rPr>
        <w:tab/>
      </w:r>
      <w:r>
        <w:rPr>
          <w:rFonts w:ascii="微软雅黑" w:hAnsi="微软雅黑" w:eastAsia="微软雅黑"/>
          <w:sz w:val="24"/>
          <w:szCs w:val="28"/>
        </w:rPr>
        <w:t>⑵</w:t>
      </w:r>
      <w:r>
        <w:rPr>
          <w:rFonts w:hint="eastAsia" w:ascii="微软雅黑" w:hAnsi="微软雅黑" w:eastAsia="微软雅黑"/>
          <w:sz w:val="24"/>
          <w:szCs w:val="28"/>
        </w:rPr>
        <w:t>、财产保险业务中：财产标的的所有权，处所及用途，标的价值与抵押状况，标的所有人财务状况等；</w:t>
      </w:r>
    </w:p>
    <w:p w14:paraId="18B666B2">
      <w:pPr>
        <w:ind w:left="1320" w:hanging="1320" w:hangingChars="550"/>
        <w:rPr>
          <w:rFonts w:ascii="微软雅黑" w:hAnsi="微软雅黑" w:eastAsia="微软雅黑"/>
          <w:sz w:val="24"/>
          <w:szCs w:val="28"/>
        </w:rPr>
      </w:pPr>
      <w:r>
        <w:rPr>
          <w:rFonts w:hint="eastAsia" w:ascii="微软雅黑" w:hAnsi="微软雅黑" w:eastAsia="微软雅黑"/>
          <w:sz w:val="24"/>
          <w:szCs w:val="28"/>
        </w:rPr>
        <w:t>第三十九条 经纪人在保险产品销售过程中，应当综合投保人的年龄与健康状况、保险标的情况、风险管理需求、家庭职业因素、已有保单情况及财务状况，推介符合投保人需求的保险产品。</w:t>
      </w:r>
    </w:p>
    <w:p w14:paraId="6FECC98E">
      <w:pPr>
        <w:ind w:left="1320" w:hanging="1320" w:hangingChars="550"/>
        <w:rPr>
          <w:rFonts w:ascii="微软雅黑" w:hAnsi="微软雅黑" w:eastAsia="微软雅黑"/>
          <w:sz w:val="24"/>
          <w:szCs w:val="28"/>
        </w:rPr>
      </w:pPr>
      <w:r>
        <w:rPr>
          <w:rFonts w:hint="eastAsia" w:ascii="微软雅黑" w:hAnsi="微软雅黑" w:eastAsia="微软雅黑"/>
          <w:sz w:val="24"/>
          <w:szCs w:val="28"/>
        </w:rPr>
        <w:t>第 四十 条 经纪人介绍投保人购买保险产品时，应当向投保人推荐符合保险标的风险状况及投保人财务状况的缴费方式，防止投保人因为缴费方式不合理而利益受损。</w:t>
      </w:r>
    </w:p>
    <w:p w14:paraId="78851EBA">
      <w:pPr>
        <w:ind w:left="1320" w:hanging="1320" w:hangingChars="550"/>
        <w:rPr>
          <w:rFonts w:ascii="微软雅黑" w:hAnsi="微软雅黑" w:eastAsia="微软雅黑"/>
          <w:sz w:val="24"/>
          <w:szCs w:val="28"/>
        </w:rPr>
      </w:pPr>
      <w:r>
        <w:rPr>
          <w:rFonts w:hint="eastAsia" w:ascii="微软雅黑" w:hAnsi="微软雅黑" w:eastAsia="微软雅黑"/>
          <w:sz w:val="24"/>
          <w:szCs w:val="28"/>
        </w:rPr>
        <w:t>第四十一条 经纪人为投保人制订保险方案时，应当如实、公正说明不同保险公司的产品差异，协助投保人选择符合自身需求与条件的保险产品。</w:t>
      </w:r>
    </w:p>
    <w:p w14:paraId="17BCF316">
      <w:pPr>
        <w:ind w:left="1320" w:hanging="1320" w:hangingChars="550"/>
        <w:rPr>
          <w:rFonts w:ascii="微软雅黑" w:hAnsi="微软雅黑" w:eastAsia="微软雅黑"/>
          <w:sz w:val="24"/>
          <w:szCs w:val="28"/>
        </w:rPr>
      </w:pPr>
      <w:r>
        <w:rPr>
          <w:rFonts w:hint="eastAsia" w:ascii="微软雅黑" w:hAnsi="微软雅黑" w:eastAsia="微软雅黑"/>
          <w:sz w:val="24"/>
          <w:szCs w:val="28"/>
        </w:rPr>
        <w:t>第四十二条 经纪人协助投保人购买保险产品时，应当要求投保人认真阅读投保所需相关文件的内容。经纪人应当向投保人解释投保文件中的专业术语，协助投保人理解投保文件的内容。</w:t>
      </w:r>
    </w:p>
    <w:p w14:paraId="00065F84">
      <w:pPr>
        <w:ind w:left="1320" w:hanging="1320" w:hangingChars="550"/>
        <w:rPr>
          <w:rFonts w:ascii="微软雅黑" w:hAnsi="微软雅黑" w:eastAsia="微软雅黑"/>
          <w:sz w:val="24"/>
          <w:szCs w:val="28"/>
        </w:rPr>
      </w:pPr>
      <w:r>
        <w:rPr>
          <w:rFonts w:hint="eastAsia" w:ascii="微软雅黑" w:hAnsi="微软雅黑" w:eastAsia="微软雅黑"/>
          <w:sz w:val="24"/>
          <w:szCs w:val="28"/>
        </w:rPr>
        <w:t>第四十三条 经纪人应当协助投保人做出投保决定前，理解相关保险产品及附加文件的重要内容。经纪人应当确认投保人在购买保险产品是其真实意愿，确保投保人亲笔签署所有投保文件。</w:t>
      </w:r>
    </w:p>
    <w:p w14:paraId="13BBFD8F">
      <w:pPr>
        <w:ind w:left="1320" w:hanging="1320" w:hangingChars="550"/>
        <w:rPr>
          <w:rFonts w:hint="eastAsia" w:ascii="微软雅黑" w:hAnsi="微软雅黑" w:eastAsia="微软雅黑"/>
          <w:sz w:val="24"/>
          <w:szCs w:val="28"/>
        </w:rPr>
      </w:pPr>
      <w:r>
        <w:rPr>
          <w:rFonts w:hint="eastAsia" w:ascii="微软雅黑" w:hAnsi="微软雅黑" w:eastAsia="微软雅黑"/>
          <w:sz w:val="24"/>
          <w:szCs w:val="28"/>
        </w:rPr>
        <w:t>第四十四条 投保过程中，经纪人应当协助投保人核对其重要个人基础信息，包括投保人、被保险人、受益人的身份信息、投保标的的基础信息、相关人员联系方式等。</w:t>
      </w:r>
    </w:p>
    <w:p w14:paraId="52FC0803">
      <w:pPr>
        <w:ind w:left="1320" w:hanging="1320" w:hangingChars="550"/>
        <w:rPr>
          <w:rFonts w:ascii="微软雅黑" w:hAnsi="微软雅黑" w:eastAsia="微软雅黑"/>
          <w:sz w:val="24"/>
          <w:szCs w:val="28"/>
        </w:rPr>
      </w:pPr>
      <w:r>
        <w:rPr>
          <w:rFonts w:hint="eastAsia" w:ascii="微软雅黑" w:hAnsi="微软雅黑" w:eastAsia="微软雅黑"/>
          <w:sz w:val="24"/>
          <w:szCs w:val="28"/>
        </w:rPr>
        <w:t>第四十五条 经纪人应当如实告知投保人，相关保险公司的核保意见或承保意见，协助投保人配合保险公司的核保要求。经纪人必须在保单签发后</w:t>
      </w:r>
      <w:r>
        <w:rPr>
          <w:rFonts w:ascii="微软雅黑" w:hAnsi="微软雅黑" w:eastAsia="微软雅黑"/>
          <w:sz w:val="24"/>
          <w:szCs w:val="28"/>
        </w:rPr>
        <w:t>3</w:t>
      </w:r>
      <w:r>
        <w:rPr>
          <w:rFonts w:hint="eastAsia" w:ascii="微软雅黑" w:hAnsi="微软雅黑" w:eastAsia="微软雅黑"/>
          <w:sz w:val="24"/>
          <w:szCs w:val="28"/>
        </w:rPr>
        <w:t>日内将保单送达投保人，并取得投保人亲笔签署的保单回执。</w:t>
      </w:r>
    </w:p>
    <w:p w14:paraId="792FC567">
      <w:pPr>
        <w:ind w:left="1320" w:hanging="1320" w:hangingChars="550"/>
        <w:rPr>
          <w:rFonts w:ascii="微软雅黑" w:hAnsi="微软雅黑" w:eastAsia="微软雅黑"/>
          <w:sz w:val="24"/>
          <w:szCs w:val="28"/>
        </w:rPr>
      </w:pPr>
      <w:r>
        <w:rPr>
          <w:rFonts w:hint="eastAsia" w:ascii="微软雅黑" w:hAnsi="微软雅黑" w:eastAsia="微软雅黑"/>
          <w:sz w:val="24"/>
          <w:szCs w:val="28"/>
        </w:rPr>
        <w:t>第四十六条 投保人所购买的保险产品如果有强制电话回访规定的，经纪人应当提前告知投保人有关保险公司的回访流程，请求投保人配合接听回访电话，避免出现因漏接回访电话或拒接回访电话的情况。</w:t>
      </w:r>
    </w:p>
    <w:p w14:paraId="0F74AF88">
      <w:pPr>
        <w:ind w:left="1320" w:hanging="1320" w:hangingChars="550"/>
        <w:rPr>
          <w:rFonts w:ascii="微软雅黑" w:hAnsi="微软雅黑" w:eastAsia="微软雅黑"/>
          <w:sz w:val="24"/>
          <w:szCs w:val="28"/>
        </w:rPr>
      </w:pPr>
      <w:r>
        <w:rPr>
          <w:rFonts w:hint="eastAsia" w:ascii="微软雅黑" w:hAnsi="微软雅黑" w:eastAsia="微软雅黑"/>
          <w:sz w:val="24"/>
          <w:szCs w:val="28"/>
        </w:rPr>
        <w:t>第四十七条 投保人在保单合同生效后，因其个人原因要求经纪人协助其办理退保手续的，经纪人应当如实告知其可能面临的经济损失和脱保风险，视具体情形为其提供减少不必要损失建议，帮助客户理性决策。</w:t>
      </w:r>
    </w:p>
    <w:p w14:paraId="46F0128D">
      <w:pPr>
        <w:ind w:left="1320" w:hanging="1320" w:hangingChars="550"/>
        <w:rPr>
          <w:rFonts w:hint="eastAsia" w:ascii="微软雅黑" w:hAnsi="微软雅黑" w:eastAsia="微软雅黑"/>
          <w:sz w:val="24"/>
          <w:szCs w:val="28"/>
        </w:rPr>
      </w:pPr>
      <w:r>
        <w:rPr>
          <w:rFonts w:hint="eastAsia" w:ascii="微软雅黑" w:hAnsi="微软雅黑" w:eastAsia="微软雅黑"/>
          <w:sz w:val="24"/>
          <w:szCs w:val="28"/>
        </w:rPr>
        <w:t>第四十八条 投保人在保单合同生效后的提出保单变更（保全）需求中，如有涉及保全核保项目的，经纪人应当就该保全项目，按照保险产品销售标准向投保人进行相关说明，协助投保人依据“最大诚信”原则履行相关核保手续，维护其合理的保障利益。</w:t>
      </w:r>
    </w:p>
    <w:p w14:paraId="277AF935">
      <w:pPr>
        <w:ind w:left="1320" w:hanging="1320" w:hangingChars="550"/>
        <w:rPr>
          <w:rFonts w:ascii="微软雅黑" w:hAnsi="微软雅黑" w:eastAsia="微软雅黑"/>
          <w:sz w:val="24"/>
          <w:szCs w:val="28"/>
        </w:rPr>
      </w:pPr>
      <w:r>
        <w:rPr>
          <w:rFonts w:hint="eastAsia" w:ascii="微软雅黑" w:hAnsi="微软雅黑" w:eastAsia="微软雅黑"/>
          <w:sz w:val="24"/>
          <w:szCs w:val="28"/>
        </w:rPr>
        <w:t>第四十九条 经纪人在保险销售及服务过程中，应当适当了解客户购买保险的资金来源合法性。</w:t>
      </w:r>
    </w:p>
    <w:p w14:paraId="2AC03499">
      <w:pPr>
        <w:ind w:left="1320" w:hanging="1320" w:hangingChars="550"/>
        <w:rPr>
          <w:rFonts w:ascii="微软雅黑" w:hAnsi="微软雅黑" w:eastAsia="微软雅黑"/>
          <w:sz w:val="24"/>
          <w:szCs w:val="28"/>
        </w:rPr>
      </w:pPr>
      <w:r>
        <w:rPr>
          <w:rFonts w:hint="eastAsia" w:ascii="微软雅黑" w:hAnsi="微软雅黑" w:eastAsia="微软雅黑"/>
          <w:sz w:val="24"/>
          <w:szCs w:val="28"/>
        </w:rPr>
        <w:t>第 五十 条 经纪人在保险销售中应当向客户解释国家有关反洗钱法律规定，督促客户按照金融监管要求配合有关身份识别、反洗钱等业务流程。</w:t>
      </w:r>
    </w:p>
    <w:p w14:paraId="6B243D97">
      <w:pPr>
        <w:ind w:left="1320" w:hanging="1320" w:hangingChars="550"/>
        <w:rPr>
          <w:rFonts w:ascii="微软雅黑" w:hAnsi="微软雅黑" w:eastAsia="微软雅黑"/>
          <w:sz w:val="24"/>
          <w:szCs w:val="28"/>
        </w:rPr>
      </w:pPr>
      <w:r>
        <w:rPr>
          <w:rFonts w:hint="eastAsia" w:ascii="微软雅黑" w:hAnsi="微软雅黑" w:eastAsia="微软雅黑"/>
          <w:sz w:val="24"/>
          <w:szCs w:val="28"/>
        </w:rPr>
        <w:t>第五十一条 经纪人为投保人选择或推荐保险公司时，必须确保承保标的风险的保险公司在保险标的所在保险监管行政地区具备保险监管机构核准的保险经营资质。</w:t>
      </w:r>
    </w:p>
    <w:p w14:paraId="5F86051C">
      <w:pPr>
        <w:ind w:left="1320" w:hanging="1320" w:hangingChars="550"/>
        <w:rPr>
          <w:rFonts w:ascii="微软雅黑" w:hAnsi="微软雅黑" w:eastAsia="微软雅黑"/>
          <w:sz w:val="24"/>
          <w:szCs w:val="28"/>
        </w:rPr>
      </w:pPr>
      <w:r>
        <w:rPr>
          <w:rFonts w:hint="eastAsia" w:ascii="微软雅黑" w:hAnsi="微软雅黑" w:eastAsia="微软雅黑"/>
          <w:sz w:val="24"/>
          <w:szCs w:val="28"/>
        </w:rPr>
        <w:t>第五十二条 经纪人销售新型人身保险产品或向6</w:t>
      </w:r>
      <w:r>
        <w:rPr>
          <w:rFonts w:ascii="微软雅黑" w:hAnsi="微软雅黑" w:eastAsia="微软雅黑"/>
          <w:sz w:val="24"/>
          <w:szCs w:val="28"/>
        </w:rPr>
        <w:t>0</w:t>
      </w:r>
      <w:r>
        <w:rPr>
          <w:rFonts w:hint="eastAsia" w:ascii="微软雅黑" w:hAnsi="微软雅黑" w:eastAsia="微软雅黑"/>
          <w:sz w:val="24"/>
          <w:szCs w:val="28"/>
        </w:rPr>
        <w:t>周岁以上投保人销售1年期以上保险产品的，应该按照</w:t>
      </w:r>
      <w:r>
        <w:rPr>
          <w:rFonts w:hint="eastAsia" w:ascii="微软雅黑" w:hAnsi="微软雅黑" w:eastAsia="微软雅黑"/>
          <w:sz w:val="24"/>
          <w:szCs w:val="28"/>
          <w:lang w:val="en-US" w:eastAsia="zh-CN"/>
        </w:rPr>
        <w:t>保险</w:t>
      </w:r>
      <w:r>
        <w:rPr>
          <w:rFonts w:hint="eastAsia" w:ascii="微软雅黑" w:hAnsi="微软雅黑" w:eastAsia="微软雅黑"/>
          <w:sz w:val="24"/>
          <w:szCs w:val="28"/>
        </w:rPr>
        <w:t>有关销售行为可追溯管理制度和标准执行，对保险销售过程进行同步录音录像，具体要求详见《东方大地保险经纪有限公司运营岗位工作制度（人身险部分）》。</w:t>
      </w:r>
    </w:p>
    <w:p w14:paraId="66AD5B5A">
      <w:pPr>
        <w:ind w:left="1320" w:hanging="1320" w:hangingChars="550"/>
        <w:rPr>
          <w:rFonts w:ascii="微软雅黑" w:hAnsi="微软雅黑" w:eastAsia="微软雅黑"/>
          <w:sz w:val="24"/>
          <w:szCs w:val="28"/>
        </w:rPr>
      </w:pPr>
      <w:r>
        <w:rPr>
          <w:rFonts w:hint="eastAsia" w:ascii="微软雅黑" w:hAnsi="微软雅黑" w:eastAsia="微软雅黑"/>
          <w:sz w:val="24"/>
          <w:szCs w:val="28"/>
        </w:rPr>
        <w:t>第五十三条 经纪人销售新型人身保险产品前，</w:t>
      </w:r>
      <w:bookmarkStart w:id="0" w:name="_GoBack"/>
      <w:bookmarkEnd w:id="0"/>
      <w:r>
        <w:rPr>
          <w:rFonts w:hint="eastAsia" w:ascii="微软雅黑" w:hAnsi="微软雅黑" w:eastAsia="微软雅黑"/>
          <w:sz w:val="24"/>
          <w:szCs w:val="28"/>
        </w:rPr>
        <w:t>必须参加公司组织的相关产品的培训并通过培训考核。</w:t>
      </w:r>
    </w:p>
    <w:p w14:paraId="2493619F">
      <w:pPr>
        <w:ind w:left="1320" w:hanging="1320" w:hangingChars="550"/>
        <w:rPr>
          <w:rFonts w:ascii="微软雅黑" w:hAnsi="微软雅黑" w:eastAsia="微软雅黑"/>
          <w:sz w:val="24"/>
          <w:szCs w:val="28"/>
        </w:rPr>
      </w:pPr>
      <w:r>
        <w:rPr>
          <w:rFonts w:hint="eastAsia" w:ascii="微软雅黑" w:hAnsi="微软雅黑" w:eastAsia="微软雅黑"/>
          <w:sz w:val="24"/>
          <w:szCs w:val="28"/>
        </w:rPr>
        <w:t>第五十四条 经纪人可以接受客户委托，为客户提供保单管理、减灾防损咨询及协助理赔等相关服务，协助客户降低风险管理的成本。</w:t>
      </w:r>
    </w:p>
    <w:p w14:paraId="50F3454D">
      <w:pPr>
        <w:ind w:left="1320" w:hanging="1320" w:hangingChars="550"/>
        <w:rPr>
          <w:rFonts w:ascii="微软雅黑" w:hAnsi="微软雅黑" w:eastAsia="微软雅黑"/>
          <w:sz w:val="24"/>
          <w:szCs w:val="28"/>
        </w:rPr>
      </w:pPr>
      <w:r>
        <w:rPr>
          <w:rFonts w:hint="eastAsia" w:ascii="微软雅黑" w:hAnsi="微软雅黑" w:eastAsia="微软雅黑"/>
          <w:sz w:val="24"/>
          <w:szCs w:val="28"/>
        </w:rPr>
        <w:t>第五十五条 经纪人为客户提供保险承保、保单管理、减灾防损、理赔协助等服务过程中，应当以维护客户合法利益为准则，确保其及时、充分获得保险合同所约定的权益保障。</w:t>
      </w:r>
    </w:p>
    <w:p w14:paraId="0B6F7DF5">
      <w:pPr>
        <w:ind w:left="1320" w:hanging="1320" w:hangingChars="550"/>
        <w:rPr>
          <w:rFonts w:ascii="微软雅黑" w:hAnsi="微软雅黑" w:eastAsia="微软雅黑"/>
          <w:sz w:val="24"/>
          <w:szCs w:val="28"/>
        </w:rPr>
      </w:pPr>
      <w:r>
        <w:rPr>
          <w:rFonts w:hint="eastAsia" w:ascii="微软雅黑" w:hAnsi="微软雅黑" w:eastAsia="微软雅黑"/>
          <w:sz w:val="24"/>
          <w:szCs w:val="28"/>
        </w:rPr>
        <w:t>第五十六条 经纪人应当为在保险销售与后续服务过程中所获悉的客户的个人资料、隐私信息、商业秘密等承担保密责任。如非必要或客户许可，经纪人应当于相应服务完成之时立即删除或销毁所持有的客户相关资料。</w:t>
      </w:r>
    </w:p>
    <w:p w14:paraId="44F2A17B">
      <w:pPr>
        <w:ind w:left="1320" w:hanging="1320" w:hangingChars="550"/>
        <w:rPr>
          <w:rFonts w:hint="eastAsia" w:ascii="微软雅黑" w:hAnsi="微软雅黑" w:eastAsia="微软雅黑"/>
          <w:sz w:val="24"/>
          <w:szCs w:val="28"/>
        </w:rPr>
      </w:pPr>
      <w:r>
        <w:rPr>
          <w:rFonts w:hint="eastAsia" w:ascii="微软雅黑" w:hAnsi="微软雅黑" w:eastAsia="微软雅黑"/>
          <w:sz w:val="24"/>
          <w:szCs w:val="28"/>
        </w:rPr>
        <w:t>第五十七条 经纪人在开展业务过程中，应当主动维护保险行业形象，理性、平等地参与和对待同业竞争，自觉抵制恶性竞争、违法违规的不良业务行为。</w:t>
      </w:r>
    </w:p>
    <w:p w14:paraId="7C8094F5">
      <w:pPr>
        <w:ind w:left="1320" w:hanging="1321" w:hangingChars="550"/>
        <w:jc w:val="center"/>
        <w:rPr>
          <w:rFonts w:ascii="微软雅黑" w:hAnsi="微软雅黑" w:eastAsia="微软雅黑"/>
          <w:b/>
          <w:bCs/>
          <w:sz w:val="24"/>
          <w:szCs w:val="28"/>
        </w:rPr>
      </w:pPr>
      <w:r>
        <w:rPr>
          <w:rFonts w:hint="eastAsia" w:ascii="微软雅黑" w:hAnsi="微软雅黑" w:eastAsia="微软雅黑"/>
          <w:b/>
          <w:bCs/>
          <w:sz w:val="24"/>
          <w:szCs w:val="28"/>
        </w:rPr>
        <w:t>第四部分 负面行为清单及违规责任</w:t>
      </w:r>
    </w:p>
    <w:p w14:paraId="3612D57E">
      <w:pPr>
        <w:ind w:left="1320" w:hanging="1320" w:hangingChars="550"/>
        <w:rPr>
          <w:rFonts w:ascii="微软雅黑" w:hAnsi="微软雅黑" w:eastAsia="微软雅黑"/>
          <w:sz w:val="24"/>
          <w:szCs w:val="28"/>
        </w:rPr>
      </w:pPr>
      <w:r>
        <w:rPr>
          <w:rFonts w:hint="eastAsia" w:ascii="微软雅黑" w:hAnsi="微软雅黑" w:eastAsia="微软雅黑"/>
          <w:sz w:val="24"/>
          <w:szCs w:val="28"/>
        </w:rPr>
        <w:t>第五十八条 各级机构及所辖工作人员、保险经纪人在开展业务过程中，严禁发生以下违法行为：</w:t>
      </w:r>
    </w:p>
    <w:p w14:paraId="0A17D26D">
      <w:pPr>
        <w:ind w:left="1320" w:hanging="1320" w:hangingChars="550"/>
        <w:rPr>
          <w:rFonts w:ascii="微软雅黑" w:hAnsi="微软雅黑" w:eastAsia="微软雅黑"/>
          <w:sz w:val="24"/>
          <w:szCs w:val="28"/>
        </w:rPr>
      </w:pPr>
      <w:r>
        <w:rPr>
          <w:rFonts w:ascii="微软雅黑" w:hAnsi="微软雅黑" w:eastAsia="微软雅黑"/>
          <w:sz w:val="24"/>
          <w:szCs w:val="28"/>
        </w:rPr>
        <w:tab/>
      </w:r>
      <w:r>
        <w:rPr>
          <w:rFonts w:ascii="微软雅黑" w:hAnsi="微软雅黑" w:eastAsia="微软雅黑"/>
          <w:sz w:val="24"/>
          <w:szCs w:val="28"/>
        </w:rPr>
        <w:t>⑴</w:t>
      </w:r>
      <w:r>
        <w:rPr>
          <w:rFonts w:hint="eastAsia" w:ascii="微软雅黑" w:hAnsi="微软雅黑" w:eastAsia="微软雅黑"/>
          <w:sz w:val="24"/>
          <w:szCs w:val="28"/>
        </w:rPr>
        <w:t>、诱导、暗示客户不履行反洗钱义务；</w:t>
      </w:r>
    </w:p>
    <w:p w14:paraId="678675C4">
      <w:pPr>
        <w:ind w:left="1320" w:hanging="1320" w:hangingChars="550"/>
        <w:rPr>
          <w:rFonts w:ascii="微软雅黑" w:hAnsi="微软雅黑" w:eastAsia="微软雅黑"/>
          <w:sz w:val="24"/>
          <w:szCs w:val="28"/>
        </w:rPr>
      </w:pPr>
      <w:r>
        <w:rPr>
          <w:rFonts w:ascii="微软雅黑" w:hAnsi="微软雅黑" w:eastAsia="微软雅黑"/>
          <w:sz w:val="24"/>
          <w:szCs w:val="28"/>
        </w:rPr>
        <w:tab/>
      </w:r>
      <w:r>
        <w:rPr>
          <w:rFonts w:ascii="微软雅黑" w:hAnsi="微软雅黑" w:eastAsia="微软雅黑"/>
          <w:sz w:val="24"/>
          <w:szCs w:val="28"/>
        </w:rPr>
        <w:t>⑵</w:t>
      </w:r>
      <w:r>
        <w:rPr>
          <w:rFonts w:hint="eastAsia" w:ascii="微软雅黑" w:hAnsi="微软雅黑" w:eastAsia="微软雅黑"/>
          <w:sz w:val="24"/>
          <w:szCs w:val="28"/>
        </w:rPr>
        <w:t>、协助掩饰客户保险资金性质、流转途径进行洗钱活动；</w:t>
      </w:r>
    </w:p>
    <w:p w14:paraId="665AFD2B">
      <w:pPr>
        <w:ind w:left="1320" w:hanging="1320" w:hangingChars="550"/>
        <w:rPr>
          <w:rFonts w:ascii="微软雅黑" w:hAnsi="微软雅黑" w:eastAsia="微软雅黑"/>
          <w:sz w:val="24"/>
          <w:szCs w:val="28"/>
        </w:rPr>
      </w:pPr>
      <w:r>
        <w:rPr>
          <w:rFonts w:ascii="微软雅黑" w:hAnsi="微软雅黑" w:eastAsia="微软雅黑"/>
          <w:sz w:val="24"/>
          <w:szCs w:val="28"/>
        </w:rPr>
        <w:tab/>
      </w:r>
      <w:r>
        <w:rPr>
          <w:rFonts w:ascii="微软雅黑" w:hAnsi="微软雅黑" w:eastAsia="微软雅黑"/>
          <w:sz w:val="24"/>
          <w:szCs w:val="28"/>
        </w:rPr>
        <w:t>⑶</w:t>
      </w:r>
      <w:r>
        <w:rPr>
          <w:rFonts w:hint="eastAsia" w:ascii="微软雅黑" w:hAnsi="微软雅黑" w:eastAsia="微软雅黑"/>
          <w:sz w:val="24"/>
          <w:szCs w:val="28"/>
        </w:rPr>
        <w:t>、利用工作便利滞留、挪用、截留、侵占保险客户的保费、退保金、生存金或保险金；</w:t>
      </w:r>
    </w:p>
    <w:p w14:paraId="7AC76DD4">
      <w:pPr>
        <w:ind w:left="1320" w:hanging="1320" w:hangingChars="550"/>
        <w:rPr>
          <w:rFonts w:ascii="微软雅黑" w:hAnsi="微软雅黑" w:eastAsia="微软雅黑"/>
          <w:sz w:val="24"/>
          <w:szCs w:val="28"/>
        </w:rPr>
      </w:pPr>
      <w:r>
        <w:rPr>
          <w:rFonts w:ascii="微软雅黑" w:hAnsi="微软雅黑" w:eastAsia="微软雅黑"/>
          <w:sz w:val="24"/>
          <w:szCs w:val="28"/>
        </w:rPr>
        <w:tab/>
      </w:r>
      <w:r>
        <w:rPr>
          <w:rFonts w:ascii="微软雅黑" w:hAnsi="微软雅黑" w:eastAsia="微软雅黑"/>
          <w:sz w:val="24"/>
          <w:szCs w:val="28"/>
        </w:rPr>
        <w:t>⑷</w:t>
      </w:r>
      <w:r>
        <w:rPr>
          <w:rFonts w:hint="eastAsia" w:ascii="微软雅黑" w:hAnsi="微软雅黑" w:eastAsia="微软雅黑"/>
          <w:sz w:val="24"/>
          <w:szCs w:val="28"/>
        </w:rPr>
        <w:t>、勾结不法人员故意制造、虚构编造保险事故，骗取保险金；</w:t>
      </w:r>
    </w:p>
    <w:p w14:paraId="46B93796">
      <w:pPr>
        <w:ind w:left="1320" w:hanging="1320" w:hangingChars="550"/>
        <w:rPr>
          <w:rFonts w:ascii="微软雅黑" w:hAnsi="微软雅黑" w:eastAsia="微软雅黑"/>
          <w:sz w:val="24"/>
          <w:szCs w:val="28"/>
        </w:rPr>
      </w:pPr>
      <w:r>
        <w:rPr>
          <w:rFonts w:ascii="微软雅黑" w:hAnsi="微软雅黑" w:eastAsia="微软雅黑"/>
          <w:sz w:val="24"/>
          <w:szCs w:val="28"/>
        </w:rPr>
        <w:tab/>
      </w:r>
      <w:r>
        <w:rPr>
          <w:rFonts w:ascii="微软雅黑" w:hAnsi="微软雅黑" w:eastAsia="微软雅黑"/>
          <w:sz w:val="24"/>
          <w:szCs w:val="28"/>
        </w:rPr>
        <w:t>⑸</w:t>
      </w:r>
      <w:r>
        <w:rPr>
          <w:rFonts w:hint="eastAsia" w:ascii="微软雅黑" w:hAnsi="微软雅黑" w:eastAsia="微软雅黑"/>
          <w:sz w:val="24"/>
          <w:szCs w:val="28"/>
        </w:rPr>
        <w:t>、参与传销、赌博、网络借贷、非法融资等违法经济活动；</w:t>
      </w:r>
    </w:p>
    <w:p w14:paraId="5B8FF514">
      <w:pPr>
        <w:ind w:left="1320" w:hanging="1320" w:hangingChars="550"/>
        <w:rPr>
          <w:rFonts w:ascii="微软雅黑" w:hAnsi="微软雅黑" w:eastAsia="微软雅黑"/>
          <w:sz w:val="24"/>
          <w:szCs w:val="28"/>
        </w:rPr>
      </w:pPr>
      <w:r>
        <w:rPr>
          <w:rFonts w:ascii="微软雅黑" w:hAnsi="微软雅黑" w:eastAsia="微软雅黑"/>
          <w:sz w:val="24"/>
          <w:szCs w:val="28"/>
        </w:rPr>
        <w:tab/>
      </w:r>
      <w:r>
        <w:rPr>
          <w:rFonts w:ascii="微软雅黑" w:hAnsi="微软雅黑" w:eastAsia="微软雅黑"/>
          <w:sz w:val="24"/>
          <w:szCs w:val="28"/>
        </w:rPr>
        <w:t>⑹</w:t>
      </w:r>
      <w:r>
        <w:rPr>
          <w:rFonts w:hint="eastAsia" w:ascii="微软雅黑" w:hAnsi="微软雅黑" w:eastAsia="微软雅黑"/>
          <w:sz w:val="24"/>
          <w:szCs w:val="28"/>
        </w:rPr>
        <w:t>、采取伪造、变造、篡改保险合同、业务凭证、公私印鉴等实施诈骗行为；</w:t>
      </w:r>
    </w:p>
    <w:p w14:paraId="11F145FD">
      <w:pPr>
        <w:ind w:left="1320" w:hanging="1320" w:hangingChars="550"/>
        <w:rPr>
          <w:rFonts w:ascii="微软雅黑" w:hAnsi="微软雅黑" w:eastAsia="微软雅黑"/>
          <w:sz w:val="24"/>
          <w:szCs w:val="28"/>
        </w:rPr>
      </w:pPr>
      <w:r>
        <w:rPr>
          <w:rFonts w:ascii="微软雅黑" w:hAnsi="微软雅黑" w:eastAsia="微软雅黑"/>
          <w:sz w:val="24"/>
          <w:szCs w:val="28"/>
        </w:rPr>
        <w:tab/>
      </w:r>
      <w:r>
        <w:rPr>
          <w:rFonts w:ascii="微软雅黑" w:hAnsi="微软雅黑" w:eastAsia="微软雅黑"/>
          <w:sz w:val="24"/>
          <w:szCs w:val="28"/>
        </w:rPr>
        <w:t>⑻</w:t>
      </w:r>
      <w:r>
        <w:rPr>
          <w:rFonts w:hint="eastAsia" w:ascii="微软雅黑" w:hAnsi="微软雅黑" w:eastAsia="微软雅黑"/>
          <w:sz w:val="24"/>
          <w:szCs w:val="28"/>
        </w:rPr>
        <w:t>、恶意盗取或破坏计算机、网络系统及设备，并造成损失；</w:t>
      </w:r>
    </w:p>
    <w:p w14:paraId="79B063CA">
      <w:pPr>
        <w:ind w:left="1320" w:hanging="1320" w:hangingChars="550"/>
        <w:rPr>
          <w:rFonts w:hint="eastAsia" w:ascii="微软雅黑" w:hAnsi="微软雅黑" w:eastAsia="微软雅黑"/>
          <w:sz w:val="24"/>
          <w:szCs w:val="28"/>
        </w:rPr>
      </w:pPr>
      <w:r>
        <w:rPr>
          <w:rFonts w:ascii="微软雅黑" w:hAnsi="微软雅黑" w:eastAsia="微软雅黑"/>
          <w:sz w:val="24"/>
          <w:szCs w:val="28"/>
        </w:rPr>
        <w:tab/>
      </w:r>
      <w:r>
        <w:rPr>
          <w:rFonts w:ascii="微软雅黑" w:hAnsi="微软雅黑" w:eastAsia="微软雅黑"/>
          <w:sz w:val="24"/>
          <w:szCs w:val="28"/>
        </w:rPr>
        <w:t>⑼</w:t>
      </w:r>
      <w:r>
        <w:rPr>
          <w:rFonts w:hint="eastAsia" w:ascii="微软雅黑" w:hAnsi="微软雅黑" w:eastAsia="微软雅黑"/>
          <w:sz w:val="24"/>
          <w:szCs w:val="28"/>
        </w:rPr>
        <w:t>、故意篡改、隐匿、损毁业务账目和数据，掩盖违规行为；</w:t>
      </w:r>
    </w:p>
    <w:p w14:paraId="6C7A3607">
      <w:pPr>
        <w:ind w:left="1320" w:hanging="1320" w:hangingChars="550"/>
        <w:rPr>
          <w:rFonts w:ascii="微软雅黑" w:hAnsi="微软雅黑" w:eastAsia="微软雅黑"/>
          <w:sz w:val="24"/>
          <w:szCs w:val="28"/>
        </w:rPr>
      </w:pPr>
      <w:r>
        <w:rPr>
          <w:rFonts w:ascii="微软雅黑" w:hAnsi="微软雅黑" w:eastAsia="微软雅黑"/>
          <w:sz w:val="24"/>
          <w:szCs w:val="28"/>
        </w:rPr>
        <w:tab/>
      </w:r>
      <w:r>
        <w:rPr>
          <w:rFonts w:ascii="微软雅黑" w:hAnsi="微软雅黑" w:eastAsia="微软雅黑"/>
          <w:sz w:val="24"/>
          <w:szCs w:val="28"/>
        </w:rPr>
        <w:t>⑺</w:t>
      </w:r>
      <w:r>
        <w:rPr>
          <w:rFonts w:hint="eastAsia" w:ascii="微软雅黑" w:hAnsi="微软雅黑" w:eastAsia="微软雅黑"/>
          <w:sz w:val="24"/>
          <w:szCs w:val="28"/>
        </w:rPr>
        <w:t>、故意泄露保险客户、合作伙伴的个人资料、隐私信息和商业秘密，并造成损失；</w:t>
      </w:r>
    </w:p>
    <w:p w14:paraId="1E39CDD0">
      <w:pPr>
        <w:ind w:left="1320" w:hanging="1320" w:hangingChars="550"/>
        <w:rPr>
          <w:rFonts w:ascii="微软雅黑" w:hAnsi="微软雅黑" w:eastAsia="微软雅黑"/>
          <w:sz w:val="24"/>
          <w:szCs w:val="28"/>
        </w:rPr>
      </w:pPr>
      <w:r>
        <w:rPr>
          <w:rFonts w:ascii="微软雅黑" w:hAnsi="微软雅黑" w:eastAsia="微软雅黑"/>
          <w:sz w:val="24"/>
          <w:szCs w:val="28"/>
        </w:rPr>
        <w:tab/>
      </w:r>
      <w:r>
        <w:rPr>
          <w:rFonts w:ascii="微软雅黑" w:hAnsi="微软雅黑" w:eastAsia="微软雅黑"/>
          <w:sz w:val="24"/>
          <w:szCs w:val="28"/>
        </w:rPr>
        <w:t>⑽</w:t>
      </w:r>
      <w:r>
        <w:rPr>
          <w:rFonts w:hint="eastAsia" w:ascii="微软雅黑" w:hAnsi="微软雅黑" w:eastAsia="微软雅黑"/>
          <w:sz w:val="24"/>
          <w:szCs w:val="28"/>
        </w:rPr>
        <w:t>、利用职务便利，为他人谋取非法利益；</w:t>
      </w:r>
    </w:p>
    <w:p w14:paraId="3834FA90">
      <w:pPr>
        <w:ind w:left="1320" w:hanging="1320" w:hangingChars="550"/>
        <w:rPr>
          <w:rFonts w:ascii="微软雅黑" w:hAnsi="微软雅黑" w:eastAsia="微软雅黑"/>
          <w:sz w:val="24"/>
          <w:szCs w:val="28"/>
        </w:rPr>
      </w:pPr>
      <w:r>
        <w:rPr>
          <w:rFonts w:ascii="微软雅黑" w:hAnsi="微软雅黑" w:eastAsia="微软雅黑"/>
          <w:sz w:val="24"/>
          <w:szCs w:val="28"/>
        </w:rPr>
        <w:tab/>
      </w:r>
      <w:r>
        <w:rPr>
          <w:rFonts w:ascii="微软雅黑" w:hAnsi="微软雅黑" w:eastAsia="微软雅黑"/>
          <w:sz w:val="24"/>
          <w:szCs w:val="28"/>
        </w:rPr>
        <w:t>⑾</w:t>
      </w:r>
      <w:r>
        <w:rPr>
          <w:rFonts w:hint="eastAsia" w:ascii="微软雅黑" w:hAnsi="微软雅黑" w:eastAsia="微软雅黑"/>
          <w:sz w:val="24"/>
          <w:szCs w:val="28"/>
        </w:rPr>
        <w:t>、其它违法国家金融法律法规的行为。</w:t>
      </w:r>
    </w:p>
    <w:p w14:paraId="5A4F1AE1">
      <w:pPr>
        <w:ind w:left="1320" w:hanging="1320" w:hangingChars="550"/>
        <w:rPr>
          <w:rFonts w:ascii="微软雅黑" w:hAnsi="微软雅黑" w:eastAsia="微软雅黑"/>
          <w:sz w:val="24"/>
          <w:szCs w:val="28"/>
        </w:rPr>
      </w:pPr>
      <w:r>
        <w:rPr>
          <w:rFonts w:hint="eastAsia" w:ascii="微软雅黑" w:hAnsi="微软雅黑" w:eastAsia="微软雅黑"/>
          <w:sz w:val="24"/>
          <w:szCs w:val="28"/>
        </w:rPr>
        <w:t>第五十九条 各级机构及所辖工作人员、保险经纪人在业务过程中，应当严格执行相关金融保险规范及公司制度，避免盲目追求业绩达成，忽视合规经营的风气，杜绝发生以下行为：</w:t>
      </w:r>
    </w:p>
    <w:p w14:paraId="4CC565C0">
      <w:pPr>
        <w:ind w:left="1320" w:hanging="1320" w:hangingChars="550"/>
        <w:rPr>
          <w:rFonts w:ascii="微软雅黑" w:hAnsi="微软雅黑" w:eastAsia="微软雅黑"/>
          <w:sz w:val="24"/>
          <w:szCs w:val="28"/>
        </w:rPr>
      </w:pPr>
      <w:r>
        <w:rPr>
          <w:rFonts w:ascii="微软雅黑" w:hAnsi="微软雅黑" w:eastAsia="微软雅黑"/>
          <w:sz w:val="24"/>
          <w:szCs w:val="28"/>
        </w:rPr>
        <w:tab/>
      </w:r>
      <w:r>
        <w:rPr>
          <w:rFonts w:ascii="微软雅黑" w:hAnsi="微软雅黑" w:eastAsia="微软雅黑"/>
          <w:sz w:val="24"/>
          <w:szCs w:val="28"/>
        </w:rPr>
        <w:t>⑴</w:t>
      </w:r>
      <w:r>
        <w:rPr>
          <w:rFonts w:hint="eastAsia" w:ascii="微软雅黑" w:hAnsi="微软雅黑" w:eastAsia="微软雅黑"/>
          <w:sz w:val="24"/>
          <w:szCs w:val="28"/>
        </w:rPr>
        <w:t>、不向客户如实说明保险合同的重要事项，损害客户利益；</w:t>
      </w:r>
    </w:p>
    <w:p w14:paraId="3E765AE0">
      <w:pPr>
        <w:ind w:left="1320" w:hanging="1320" w:hangingChars="550"/>
        <w:rPr>
          <w:rFonts w:ascii="微软雅黑" w:hAnsi="微软雅黑" w:eastAsia="微软雅黑"/>
          <w:sz w:val="24"/>
          <w:szCs w:val="28"/>
        </w:rPr>
      </w:pPr>
      <w:r>
        <w:rPr>
          <w:rFonts w:ascii="微软雅黑" w:hAnsi="微软雅黑" w:eastAsia="微软雅黑"/>
          <w:sz w:val="24"/>
          <w:szCs w:val="28"/>
        </w:rPr>
        <w:tab/>
      </w:r>
      <w:r>
        <w:rPr>
          <w:rFonts w:ascii="微软雅黑" w:hAnsi="微软雅黑" w:eastAsia="微软雅黑"/>
          <w:sz w:val="24"/>
          <w:szCs w:val="28"/>
        </w:rPr>
        <w:t>⑵</w:t>
      </w:r>
      <w:r>
        <w:rPr>
          <w:rFonts w:hint="eastAsia" w:ascii="微软雅黑" w:hAnsi="微软雅黑" w:eastAsia="微软雅黑"/>
          <w:sz w:val="24"/>
          <w:szCs w:val="28"/>
        </w:rPr>
        <w:t>、故意混淆保险产品与其它金融产品，误导客户；</w:t>
      </w:r>
    </w:p>
    <w:p w14:paraId="742E2F22">
      <w:pPr>
        <w:ind w:left="1320" w:hanging="1320" w:hangingChars="550"/>
        <w:rPr>
          <w:rFonts w:ascii="微软雅黑" w:hAnsi="微软雅黑" w:eastAsia="微软雅黑"/>
          <w:sz w:val="24"/>
          <w:szCs w:val="28"/>
        </w:rPr>
      </w:pPr>
      <w:r>
        <w:rPr>
          <w:rFonts w:ascii="微软雅黑" w:hAnsi="微软雅黑" w:eastAsia="微软雅黑"/>
          <w:sz w:val="24"/>
          <w:szCs w:val="28"/>
        </w:rPr>
        <w:tab/>
      </w:r>
      <w:r>
        <w:rPr>
          <w:rFonts w:ascii="微软雅黑" w:hAnsi="微软雅黑" w:eastAsia="微软雅黑"/>
          <w:sz w:val="24"/>
          <w:szCs w:val="28"/>
        </w:rPr>
        <w:t>⑶</w:t>
      </w:r>
      <w:r>
        <w:rPr>
          <w:rFonts w:hint="eastAsia" w:ascii="微软雅黑" w:hAnsi="微软雅黑" w:eastAsia="微软雅黑"/>
          <w:sz w:val="24"/>
          <w:szCs w:val="28"/>
        </w:rPr>
        <w:t>、简单、片面比较同业保险产品或其它金融产品，误导销售；</w:t>
      </w:r>
      <w:r>
        <w:rPr>
          <w:rFonts w:ascii="微软雅黑" w:hAnsi="微软雅黑" w:eastAsia="微软雅黑"/>
          <w:sz w:val="24"/>
          <w:szCs w:val="28"/>
        </w:rPr>
        <w:t xml:space="preserve"> </w:t>
      </w:r>
    </w:p>
    <w:p w14:paraId="13297777">
      <w:pPr>
        <w:ind w:left="1320" w:hanging="1320" w:hangingChars="550"/>
        <w:rPr>
          <w:rFonts w:ascii="微软雅黑" w:hAnsi="微软雅黑" w:eastAsia="微软雅黑"/>
          <w:sz w:val="24"/>
          <w:szCs w:val="28"/>
        </w:rPr>
      </w:pPr>
      <w:r>
        <w:rPr>
          <w:rFonts w:ascii="微软雅黑" w:hAnsi="微软雅黑" w:eastAsia="微软雅黑"/>
          <w:sz w:val="24"/>
          <w:szCs w:val="28"/>
        </w:rPr>
        <w:tab/>
      </w:r>
      <w:r>
        <w:rPr>
          <w:rFonts w:ascii="微软雅黑" w:hAnsi="微软雅黑" w:eastAsia="微软雅黑"/>
          <w:sz w:val="24"/>
          <w:szCs w:val="28"/>
        </w:rPr>
        <w:t>⑷</w:t>
      </w:r>
      <w:r>
        <w:rPr>
          <w:rFonts w:hint="eastAsia" w:ascii="微软雅黑" w:hAnsi="微软雅黑" w:eastAsia="微软雅黑"/>
          <w:sz w:val="24"/>
          <w:szCs w:val="28"/>
        </w:rPr>
        <w:t>、向客户推荐或建议明显不符合其需求、或明显超出其财务状况的保险产品、缴费方式；</w:t>
      </w:r>
      <w:r>
        <w:rPr>
          <w:rFonts w:ascii="微软雅黑" w:hAnsi="微软雅黑" w:eastAsia="微软雅黑"/>
          <w:sz w:val="24"/>
          <w:szCs w:val="28"/>
        </w:rPr>
        <w:t xml:space="preserve"> </w:t>
      </w:r>
    </w:p>
    <w:p w14:paraId="248F7504">
      <w:pPr>
        <w:ind w:left="1320" w:hanging="1320" w:hangingChars="550"/>
        <w:rPr>
          <w:rFonts w:ascii="微软雅黑" w:hAnsi="微软雅黑" w:eastAsia="微软雅黑"/>
          <w:sz w:val="24"/>
          <w:szCs w:val="28"/>
        </w:rPr>
      </w:pPr>
      <w:r>
        <w:rPr>
          <w:rFonts w:ascii="微软雅黑" w:hAnsi="微软雅黑" w:eastAsia="微软雅黑"/>
          <w:sz w:val="24"/>
          <w:szCs w:val="28"/>
        </w:rPr>
        <w:tab/>
      </w:r>
      <w:r>
        <w:rPr>
          <w:rFonts w:ascii="微软雅黑" w:hAnsi="微软雅黑" w:eastAsia="微软雅黑"/>
          <w:sz w:val="24"/>
          <w:szCs w:val="28"/>
        </w:rPr>
        <w:t>⑸</w:t>
      </w:r>
      <w:r>
        <w:rPr>
          <w:rFonts w:hint="eastAsia" w:ascii="微软雅黑" w:hAnsi="微软雅黑" w:eastAsia="微软雅黑"/>
          <w:sz w:val="24"/>
          <w:szCs w:val="28"/>
        </w:rPr>
        <w:t>、将新型人身保险产品按照普通保险产品进行违规销售；</w:t>
      </w:r>
      <w:r>
        <w:rPr>
          <w:rFonts w:ascii="微软雅黑" w:hAnsi="微软雅黑" w:eastAsia="微软雅黑"/>
          <w:sz w:val="24"/>
          <w:szCs w:val="28"/>
        </w:rPr>
        <w:t xml:space="preserve"> </w:t>
      </w:r>
    </w:p>
    <w:p w14:paraId="72E492DA">
      <w:pPr>
        <w:ind w:left="1320" w:hanging="1320" w:hangingChars="550"/>
        <w:rPr>
          <w:rFonts w:ascii="微软雅黑" w:hAnsi="微软雅黑" w:eastAsia="微软雅黑"/>
          <w:sz w:val="24"/>
          <w:szCs w:val="28"/>
        </w:rPr>
      </w:pPr>
      <w:r>
        <w:rPr>
          <w:rFonts w:ascii="微软雅黑" w:hAnsi="微软雅黑" w:eastAsia="微软雅黑"/>
          <w:sz w:val="24"/>
          <w:szCs w:val="28"/>
        </w:rPr>
        <w:tab/>
      </w:r>
      <w:r>
        <w:rPr>
          <w:rFonts w:ascii="微软雅黑" w:hAnsi="微软雅黑" w:eastAsia="微软雅黑"/>
          <w:sz w:val="24"/>
          <w:szCs w:val="28"/>
        </w:rPr>
        <w:t>⑹</w:t>
      </w:r>
      <w:r>
        <w:rPr>
          <w:rFonts w:hint="eastAsia" w:ascii="微软雅黑" w:hAnsi="微软雅黑" w:eastAsia="微软雅黑"/>
          <w:sz w:val="24"/>
          <w:szCs w:val="28"/>
        </w:rPr>
        <w:t>、诱导、暗示、阻碍客户履行如实告知义务；</w:t>
      </w:r>
    </w:p>
    <w:p w14:paraId="4BE45308">
      <w:pPr>
        <w:ind w:left="1320" w:hanging="1320" w:hangingChars="550"/>
        <w:rPr>
          <w:rFonts w:ascii="微软雅黑" w:hAnsi="微软雅黑" w:eastAsia="微软雅黑"/>
          <w:sz w:val="24"/>
          <w:szCs w:val="28"/>
        </w:rPr>
      </w:pPr>
      <w:r>
        <w:rPr>
          <w:rFonts w:ascii="微软雅黑" w:hAnsi="微软雅黑" w:eastAsia="微软雅黑"/>
          <w:sz w:val="24"/>
          <w:szCs w:val="28"/>
        </w:rPr>
        <w:tab/>
      </w:r>
      <w:r>
        <w:rPr>
          <w:rFonts w:ascii="微软雅黑" w:hAnsi="微软雅黑" w:eastAsia="微软雅黑"/>
          <w:sz w:val="24"/>
          <w:szCs w:val="28"/>
        </w:rPr>
        <w:t>⑺</w:t>
      </w:r>
      <w:r>
        <w:rPr>
          <w:rFonts w:hint="eastAsia" w:ascii="微软雅黑" w:hAnsi="微软雅黑" w:eastAsia="微软雅黑"/>
          <w:sz w:val="24"/>
          <w:szCs w:val="28"/>
        </w:rPr>
        <w:t>、超出保险公司的监管核准的业务区域之外销售其产品；</w:t>
      </w:r>
    </w:p>
    <w:p w14:paraId="4C0CAFEF">
      <w:pPr>
        <w:ind w:left="1320" w:hanging="1320" w:hangingChars="550"/>
        <w:rPr>
          <w:rFonts w:ascii="微软雅黑" w:hAnsi="微软雅黑" w:eastAsia="微软雅黑"/>
          <w:sz w:val="24"/>
          <w:szCs w:val="28"/>
        </w:rPr>
      </w:pPr>
      <w:r>
        <w:rPr>
          <w:rFonts w:ascii="微软雅黑" w:hAnsi="微软雅黑" w:eastAsia="微软雅黑"/>
          <w:sz w:val="24"/>
          <w:szCs w:val="28"/>
        </w:rPr>
        <w:tab/>
      </w:r>
      <w:r>
        <w:rPr>
          <w:rFonts w:ascii="微软雅黑" w:hAnsi="微软雅黑" w:eastAsia="微软雅黑"/>
          <w:sz w:val="24"/>
          <w:szCs w:val="28"/>
        </w:rPr>
        <w:t>⑻</w:t>
      </w:r>
      <w:r>
        <w:rPr>
          <w:rFonts w:hint="eastAsia" w:ascii="微软雅黑" w:hAnsi="微软雅黑" w:eastAsia="微软雅黑"/>
          <w:sz w:val="24"/>
          <w:szCs w:val="28"/>
        </w:rPr>
        <w:t>、诱导、暗示、协助客户隐瞒保险标的的真实情况，规避保险公司的核保与风险管理措施；</w:t>
      </w:r>
    </w:p>
    <w:p w14:paraId="543F96C6">
      <w:pPr>
        <w:ind w:left="1320" w:hanging="1320" w:hangingChars="550"/>
        <w:rPr>
          <w:rFonts w:ascii="微软雅黑" w:hAnsi="微软雅黑" w:eastAsia="微软雅黑"/>
          <w:sz w:val="24"/>
          <w:szCs w:val="28"/>
        </w:rPr>
      </w:pPr>
      <w:r>
        <w:rPr>
          <w:rFonts w:ascii="微软雅黑" w:hAnsi="微软雅黑" w:eastAsia="微软雅黑"/>
          <w:sz w:val="24"/>
          <w:szCs w:val="28"/>
        </w:rPr>
        <w:tab/>
      </w:r>
      <w:r>
        <w:rPr>
          <w:rFonts w:ascii="微软雅黑" w:hAnsi="微软雅黑" w:eastAsia="微软雅黑"/>
          <w:sz w:val="24"/>
          <w:szCs w:val="28"/>
        </w:rPr>
        <w:t>⑼</w:t>
      </w:r>
      <w:r>
        <w:rPr>
          <w:rFonts w:hint="eastAsia" w:ascii="微软雅黑" w:hAnsi="微软雅黑" w:eastAsia="微软雅黑"/>
          <w:sz w:val="24"/>
          <w:szCs w:val="28"/>
        </w:rPr>
        <w:t>、给予或承诺给予客户保险合同之外的利益；</w:t>
      </w:r>
    </w:p>
    <w:p w14:paraId="7EA43C6E">
      <w:pPr>
        <w:ind w:left="1320" w:hanging="1320" w:hangingChars="550"/>
        <w:rPr>
          <w:rFonts w:ascii="微软雅黑" w:hAnsi="微软雅黑" w:eastAsia="微软雅黑"/>
          <w:sz w:val="24"/>
          <w:szCs w:val="28"/>
        </w:rPr>
      </w:pPr>
      <w:r>
        <w:rPr>
          <w:rFonts w:ascii="微软雅黑" w:hAnsi="微软雅黑" w:eastAsia="微软雅黑"/>
          <w:sz w:val="24"/>
          <w:szCs w:val="28"/>
        </w:rPr>
        <w:tab/>
      </w:r>
      <w:r>
        <w:rPr>
          <w:rFonts w:ascii="微软雅黑" w:hAnsi="微软雅黑" w:eastAsia="微软雅黑"/>
          <w:sz w:val="24"/>
          <w:szCs w:val="28"/>
        </w:rPr>
        <w:t>⑽</w:t>
      </w:r>
      <w:r>
        <w:rPr>
          <w:rFonts w:hint="eastAsia" w:ascii="微软雅黑" w:hAnsi="微软雅黑" w:eastAsia="微软雅黑"/>
          <w:sz w:val="24"/>
          <w:szCs w:val="28"/>
        </w:rPr>
        <w:t>、未取得或超出客户委托范围实施进行投保、退保、保全、理赔等操作；代签名、代体检、代回访；滞留、隐匿客户保险合同、保险凭证；</w:t>
      </w:r>
    </w:p>
    <w:p w14:paraId="6EC29699">
      <w:pPr>
        <w:ind w:left="1320" w:hanging="1320" w:hangingChars="550"/>
        <w:rPr>
          <w:rFonts w:ascii="微软雅黑" w:hAnsi="微软雅黑" w:eastAsia="微软雅黑"/>
          <w:sz w:val="24"/>
          <w:szCs w:val="28"/>
        </w:rPr>
      </w:pPr>
      <w:r>
        <w:rPr>
          <w:rFonts w:ascii="微软雅黑" w:hAnsi="微软雅黑" w:eastAsia="微软雅黑"/>
          <w:sz w:val="24"/>
          <w:szCs w:val="28"/>
        </w:rPr>
        <w:tab/>
      </w:r>
      <w:r>
        <w:rPr>
          <w:rFonts w:ascii="微软雅黑" w:hAnsi="微软雅黑" w:eastAsia="微软雅黑"/>
          <w:sz w:val="24"/>
          <w:szCs w:val="28"/>
        </w:rPr>
        <w:t>⑾</w:t>
      </w:r>
      <w:r>
        <w:rPr>
          <w:rFonts w:hint="eastAsia" w:ascii="微软雅黑" w:hAnsi="微软雅黑" w:eastAsia="微软雅黑"/>
          <w:sz w:val="24"/>
          <w:szCs w:val="28"/>
        </w:rPr>
        <w:t>、未经监管批准或未经总部授权违规开展电销、互联网业务；违规销售或参与销售其它非保险金融产品；</w:t>
      </w:r>
    </w:p>
    <w:p w14:paraId="319261CC">
      <w:pPr>
        <w:ind w:left="1320" w:hanging="1320" w:hangingChars="550"/>
        <w:rPr>
          <w:rFonts w:ascii="微软雅黑" w:hAnsi="微软雅黑" w:eastAsia="微软雅黑"/>
          <w:sz w:val="24"/>
          <w:szCs w:val="28"/>
        </w:rPr>
      </w:pPr>
      <w:r>
        <w:rPr>
          <w:rFonts w:ascii="微软雅黑" w:hAnsi="微软雅黑" w:eastAsia="微软雅黑"/>
          <w:sz w:val="24"/>
          <w:szCs w:val="28"/>
        </w:rPr>
        <w:tab/>
      </w:r>
      <w:r>
        <w:rPr>
          <w:rFonts w:ascii="微软雅黑" w:hAnsi="微软雅黑" w:eastAsia="微软雅黑"/>
          <w:sz w:val="24"/>
          <w:szCs w:val="28"/>
        </w:rPr>
        <w:t>⑿</w:t>
      </w:r>
      <w:r>
        <w:rPr>
          <w:rFonts w:hint="eastAsia" w:ascii="微软雅黑" w:hAnsi="微软雅黑" w:eastAsia="微软雅黑"/>
          <w:sz w:val="24"/>
          <w:szCs w:val="28"/>
        </w:rPr>
        <w:t>、虚构中介经纪业务、咨询服务、虚假退保，套取佣金或费用；</w:t>
      </w:r>
    </w:p>
    <w:p w14:paraId="6E71BF96">
      <w:pPr>
        <w:ind w:left="1320" w:hanging="1320" w:hangingChars="550"/>
        <w:rPr>
          <w:rFonts w:ascii="微软雅黑" w:hAnsi="微软雅黑" w:eastAsia="微软雅黑"/>
          <w:sz w:val="24"/>
          <w:szCs w:val="28"/>
        </w:rPr>
      </w:pPr>
      <w:r>
        <w:rPr>
          <w:rFonts w:ascii="微软雅黑" w:hAnsi="微软雅黑" w:eastAsia="微软雅黑"/>
          <w:sz w:val="24"/>
          <w:szCs w:val="28"/>
        </w:rPr>
        <w:tab/>
      </w:r>
      <w:r>
        <w:rPr>
          <w:rFonts w:ascii="微软雅黑" w:hAnsi="微软雅黑" w:eastAsia="微软雅黑"/>
          <w:sz w:val="24"/>
          <w:szCs w:val="28"/>
        </w:rPr>
        <w:t>⒀</w:t>
      </w:r>
      <w:r>
        <w:rPr>
          <w:rFonts w:hint="eastAsia" w:ascii="微软雅黑" w:hAnsi="微软雅黑" w:eastAsia="微软雅黑"/>
          <w:sz w:val="24"/>
          <w:szCs w:val="28"/>
        </w:rPr>
        <w:t>、勾结客户，故意夸大或扩大保险损失、干扰理赔查勘，骗取理赔保险金；</w:t>
      </w:r>
    </w:p>
    <w:p w14:paraId="2437894D">
      <w:pPr>
        <w:ind w:left="1320" w:hanging="1320" w:hangingChars="550"/>
        <w:rPr>
          <w:rFonts w:ascii="微软雅黑" w:hAnsi="微软雅黑" w:eastAsia="微软雅黑"/>
          <w:sz w:val="24"/>
          <w:szCs w:val="28"/>
        </w:rPr>
      </w:pPr>
      <w:r>
        <w:rPr>
          <w:rFonts w:ascii="微软雅黑" w:hAnsi="微软雅黑" w:eastAsia="微软雅黑"/>
          <w:sz w:val="24"/>
          <w:szCs w:val="28"/>
        </w:rPr>
        <w:tab/>
      </w:r>
      <w:r>
        <w:rPr>
          <w:rFonts w:ascii="微软雅黑" w:hAnsi="微软雅黑" w:eastAsia="微软雅黑"/>
          <w:sz w:val="24"/>
          <w:szCs w:val="28"/>
        </w:rPr>
        <w:t>⒁</w:t>
      </w:r>
      <w:r>
        <w:rPr>
          <w:rFonts w:hint="eastAsia" w:ascii="微软雅黑" w:hAnsi="微软雅黑" w:eastAsia="微软雅黑"/>
          <w:sz w:val="24"/>
          <w:szCs w:val="28"/>
        </w:rPr>
        <w:t>、违规印制、变造、篡改保险单证及宣传品企图牟利；</w:t>
      </w:r>
    </w:p>
    <w:p w14:paraId="655489B9">
      <w:pPr>
        <w:ind w:left="1320" w:hanging="1320" w:hangingChars="550"/>
        <w:rPr>
          <w:rFonts w:ascii="微软雅黑" w:hAnsi="微软雅黑" w:eastAsia="微软雅黑"/>
          <w:sz w:val="24"/>
          <w:szCs w:val="28"/>
        </w:rPr>
      </w:pPr>
      <w:r>
        <w:rPr>
          <w:rFonts w:ascii="微软雅黑" w:hAnsi="微软雅黑" w:eastAsia="微软雅黑"/>
          <w:sz w:val="24"/>
          <w:szCs w:val="28"/>
        </w:rPr>
        <w:tab/>
      </w:r>
      <w:r>
        <w:rPr>
          <w:rFonts w:ascii="微软雅黑" w:hAnsi="微软雅黑" w:eastAsia="微软雅黑"/>
          <w:sz w:val="24"/>
          <w:szCs w:val="28"/>
        </w:rPr>
        <w:t>⒂</w:t>
      </w:r>
      <w:r>
        <w:rPr>
          <w:rFonts w:hint="eastAsia" w:ascii="微软雅黑" w:hAnsi="微软雅黑" w:eastAsia="微软雅黑"/>
          <w:sz w:val="24"/>
          <w:szCs w:val="28"/>
        </w:rPr>
        <w:t>、未经许可非法留存、拷贝、隐匿客户或合作伙伴的隐私信息、商业秘密；</w:t>
      </w:r>
    </w:p>
    <w:p w14:paraId="1385E662">
      <w:pPr>
        <w:ind w:left="1320" w:hanging="1320" w:hangingChars="550"/>
        <w:rPr>
          <w:rFonts w:ascii="微软雅黑" w:hAnsi="微软雅黑" w:eastAsia="微软雅黑"/>
          <w:sz w:val="24"/>
          <w:szCs w:val="28"/>
        </w:rPr>
      </w:pPr>
      <w:r>
        <w:rPr>
          <w:rFonts w:ascii="微软雅黑" w:hAnsi="微软雅黑" w:eastAsia="微软雅黑"/>
          <w:sz w:val="24"/>
          <w:szCs w:val="28"/>
        </w:rPr>
        <w:tab/>
      </w:r>
      <w:r>
        <w:rPr>
          <w:rFonts w:ascii="微软雅黑" w:hAnsi="微软雅黑" w:eastAsia="微软雅黑"/>
          <w:sz w:val="24"/>
          <w:szCs w:val="28"/>
        </w:rPr>
        <w:t>⒃</w:t>
      </w:r>
      <w:r>
        <w:rPr>
          <w:rFonts w:hint="eastAsia" w:ascii="微软雅黑" w:hAnsi="微软雅黑" w:eastAsia="微软雅黑"/>
          <w:sz w:val="24"/>
          <w:szCs w:val="28"/>
        </w:rPr>
        <w:t>、违规任用未在本公司登记注册为保险经纪人的人员以公司名义开展保险销售活动；</w:t>
      </w:r>
    </w:p>
    <w:p w14:paraId="6C9E3C7B">
      <w:pPr>
        <w:ind w:left="1320" w:hanging="1320" w:hangingChars="550"/>
        <w:rPr>
          <w:rFonts w:ascii="微软雅黑" w:hAnsi="微软雅黑" w:eastAsia="微软雅黑"/>
          <w:sz w:val="24"/>
          <w:szCs w:val="28"/>
        </w:rPr>
      </w:pPr>
      <w:r>
        <w:rPr>
          <w:rFonts w:ascii="微软雅黑" w:hAnsi="微软雅黑" w:eastAsia="微软雅黑"/>
          <w:sz w:val="24"/>
          <w:szCs w:val="28"/>
        </w:rPr>
        <w:tab/>
      </w:r>
      <w:r>
        <w:rPr>
          <w:rFonts w:ascii="微软雅黑" w:hAnsi="微软雅黑" w:eastAsia="微软雅黑"/>
          <w:sz w:val="24"/>
          <w:szCs w:val="28"/>
        </w:rPr>
        <w:t>⒄</w:t>
      </w:r>
      <w:r>
        <w:rPr>
          <w:rFonts w:hint="eastAsia" w:ascii="微软雅黑" w:hAnsi="微软雅黑" w:eastAsia="微软雅黑"/>
          <w:sz w:val="24"/>
          <w:szCs w:val="28"/>
        </w:rPr>
        <w:t>、制作虚假账目、虚假业务报表以掩饰违规行为；</w:t>
      </w:r>
    </w:p>
    <w:p w14:paraId="706AADDB">
      <w:pPr>
        <w:ind w:left="1320" w:hanging="1320" w:hangingChars="550"/>
        <w:rPr>
          <w:rFonts w:ascii="微软雅黑" w:hAnsi="微软雅黑" w:eastAsia="微软雅黑"/>
          <w:sz w:val="24"/>
          <w:szCs w:val="28"/>
        </w:rPr>
      </w:pPr>
      <w:r>
        <w:rPr>
          <w:rFonts w:ascii="微软雅黑" w:hAnsi="微软雅黑" w:eastAsia="微软雅黑"/>
          <w:sz w:val="24"/>
          <w:szCs w:val="28"/>
        </w:rPr>
        <w:tab/>
      </w:r>
      <w:r>
        <w:rPr>
          <w:rFonts w:ascii="微软雅黑" w:hAnsi="微软雅黑" w:eastAsia="微软雅黑"/>
          <w:sz w:val="24"/>
          <w:szCs w:val="28"/>
        </w:rPr>
        <w:t>⒅</w:t>
      </w:r>
      <w:r>
        <w:rPr>
          <w:rFonts w:hint="eastAsia" w:ascii="微软雅黑" w:hAnsi="微软雅黑" w:eastAsia="微软雅黑"/>
          <w:sz w:val="24"/>
          <w:szCs w:val="28"/>
        </w:rPr>
        <w:t>、采取诋毁、贬损同业或夸大自我的方式实施不正当竞争；</w:t>
      </w:r>
    </w:p>
    <w:p w14:paraId="30445BC2">
      <w:pPr>
        <w:ind w:left="1320" w:hanging="1320" w:hangingChars="550"/>
        <w:rPr>
          <w:rFonts w:ascii="微软雅黑" w:hAnsi="微软雅黑" w:eastAsia="微软雅黑"/>
          <w:sz w:val="24"/>
          <w:szCs w:val="28"/>
        </w:rPr>
      </w:pPr>
      <w:r>
        <w:rPr>
          <w:rFonts w:ascii="微软雅黑" w:hAnsi="微软雅黑" w:eastAsia="微软雅黑"/>
          <w:sz w:val="24"/>
          <w:szCs w:val="28"/>
        </w:rPr>
        <w:tab/>
      </w:r>
      <w:r>
        <w:rPr>
          <w:rFonts w:ascii="微软雅黑" w:hAnsi="微软雅黑" w:eastAsia="微软雅黑"/>
          <w:sz w:val="24"/>
          <w:szCs w:val="28"/>
        </w:rPr>
        <w:t>⒆</w:t>
      </w:r>
      <w:r>
        <w:rPr>
          <w:rFonts w:hint="eastAsia" w:ascii="微软雅黑" w:hAnsi="微软雅黑" w:eastAsia="微软雅黑"/>
          <w:sz w:val="24"/>
          <w:szCs w:val="28"/>
        </w:rPr>
        <w:t>、向不具备保险销售资质的机构或个人支付或变相支付佣金，或超出监管规定或行业自律标准支付佣金；</w:t>
      </w:r>
    </w:p>
    <w:p w14:paraId="6A7B3634">
      <w:pPr>
        <w:ind w:left="1320" w:hanging="1320" w:hangingChars="550"/>
        <w:rPr>
          <w:rFonts w:ascii="微软雅黑" w:hAnsi="微软雅黑" w:eastAsia="微软雅黑"/>
          <w:sz w:val="24"/>
          <w:szCs w:val="28"/>
        </w:rPr>
      </w:pPr>
      <w:r>
        <w:rPr>
          <w:rFonts w:ascii="微软雅黑" w:hAnsi="微软雅黑" w:eastAsia="微软雅黑"/>
          <w:sz w:val="24"/>
          <w:szCs w:val="28"/>
        </w:rPr>
        <w:tab/>
      </w:r>
      <w:r>
        <w:rPr>
          <w:rFonts w:ascii="微软雅黑" w:hAnsi="微软雅黑" w:eastAsia="微软雅黑"/>
          <w:sz w:val="24"/>
          <w:szCs w:val="28"/>
        </w:rPr>
        <w:t>⒇</w:t>
      </w:r>
      <w:r>
        <w:rPr>
          <w:rFonts w:hint="eastAsia" w:ascii="微软雅黑" w:hAnsi="微软雅黑" w:eastAsia="微软雅黑"/>
          <w:sz w:val="24"/>
          <w:szCs w:val="28"/>
        </w:rPr>
        <w:t>、其它违反金融及保险行业销售规范的行为。</w:t>
      </w:r>
    </w:p>
    <w:p w14:paraId="1DE346C3">
      <w:pPr>
        <w:ind w:left="1320" w:hanging="1320" w:hangingChars="550"/>
        <w:rPr>
          <w:rFonts w:ascii="微软雅黑" w:hAnsi="微软雅黑" w:eastAsia="微软雅黑"/>
          <w:sz w:val="24"/>
          <w:szCs w:val="28"/>
        </w:rPr>
      </w:pPr>
      <w:r>
        <w:rPr>
          <w:rFonts w:hint="eastAsia" w:ascii="微软雅黑" w:hAnsi="微软雅黑" w:eastAsia="微软雅黑"/>
          <w:sz w:val="24"/>
          <w:szCs w:val="28"/>
        </w:rPr>
        <w:t>第</w:t>
      </w:r>
      <w:r>
        <w:rPr>
          <w:rFonts w:ascii="微软雅黑" w:hAnsi="微软雅黑" w:eastAsia="微软雅黑"/>
          <w:sz w:val="24"/>
          <w:szCs w:val="28"/>
        </w:rPr>
        <w:t xml:space="preserve"> </w:t>
      </w:r>
      <w:r>
        <w:rPr>
          <w:rFonts w:hint="eastAsia" w:ascii="微软雅黑" w:hAnsi="微软雅黑" w:eastAsia="微软雅黑"/>
          <w:sz w:val="24"/>
          <w:szCs w:val="28"/>
        </w:rPr>
        <w:t>六十 条 各级机构及其所辖工作人员、保险经纪人应该按照诚信自律、尽职尽责，坚持以服务客户为中心，提升业务能力与专业素养，严格执行业务流程，防范差错和风险：</w:t>
      </w:r>
    </w:p>
    <w:p w14:paraId="13AA9123">
      <w:pPr>
        <w:ind w:left="1320" w:hanging="1320" w:hangingChars="550"/>
        <w:rPr>
          <w:rFonts w:ascii="微软雅黑" w:hAnsi="微软雅黑" w:eastAsia="微软雅黑"/>
          <w:sz w:val="24"/>
          <w:szCs w:val="28"/>
        </w:rPr>
      </w:pPr>
      <w:r>
        <w:rPr>
          <w:rFonts w:ascii="微软雅黑" w:hAnsi="微软雅黑" w:eastAsia="微软雅黑"/>
          <w:sz w:val="24"/>
          <w:szCs w:val="28"/>
        </w:rPr>
        <w:tab/>
      </w:r>
      <w:r>
        <w:rPr>
          <w:rFonts w:ascii="微软雅黑" w:hAnsi="微软雅黑" w:eastAsia="微软雅黑"/>
          <w:sz w:val="24"/>
          <w:szCs w:val="28"/>
        </w:rPr>
        <w:t>⑴</w:t>
      </w:r>
      <w:r>
        <w:rPr>
          <w:rFonts w:hint="eastAsia" w:ascii="微软雅黑" w:hAnsi="微软雅黑" w:eastAsia="微软雅黑"/>
          <w:sz w:val="24"/>
          <w:szCs w:val="28"/>
        </w:rPr>
        <w:t>、不得推诿、搪塞、拖延客户的合理服务需求或咨询投诉；</w:t>
      </w:r>
    </w:p>
    <w:p w14:paraId="7E2411F0">
      <w:pPr>
        <w:ind w:left="1320" w:hanging="1320" w:hangingChars="550"/>
        <w:rPr>
          <w:rFonts w:ascii="微软雅黑" w:hAnsi="微软雅黑" w:eastAsia="微软雅黑"/>
          <w:sz w:val="24"/>
          <w:szCs w:val="28"/>
        </w:rPr>
      </w:pPr>
      <w:r>
        <w:rPr>
          <w:rFonts w:ascii="微软雅黑" w:hAnsi="微软雅黑" w:eastAsia="微软雅黑"/>
          <w:sz w:val="24"/>
          <w:szCs w:val="28"/>
        </w:rPr>
        <w:tab/>
      </w:r>
      <w:r>
        <w:rPr>
          <w:rFonts w:ascii="微软雅黑" w:hAnsi="微软雅黑" w:eastAsia="微软雅黑"/>
          <w:sz w:val="24"/>
          <w:szCs w:val="28"/>
        </w:rPr>
        <w:t>⑵</w:t>
      </w:r>
      <w:r>
        <w:rPr>
          <w:rFonts w:hint="eastAsia" w:ascii="微软雅黑" w:hAnsi="微软雅黑" w:eastAsia="微软雅黑"/>
          <w:sz w:val="24"/>
          <w:szCs w:val="28"/>
        </w:rPr>
        <w:t>、不得向客户承诺超出自身能力的事项；</w:t>
      </w:r>
    </w:p>
    <w:p w14:paraId="5D863BCF">
      <w:pPr>
        <w:ind w:left="1320" w:hanging="1320" w:hangingChars="550"/>
        <w:rPr>
          <w:rFonts w:ascii="微软雅黑" w:hAnsi="微软雅黑" w:eastAsia="微软雅黑"/>
          <w:sz w:val="24"/>
          <w:szCs w:val="28"/>
        </w:rPr>
      </w:pPr>
      <w:r>
        <w:rPr>
          <w:rFonts w:ascii="微软雅黑" w:hAnsi="微软雅黑" w:eastAsia="微软雅黑"/>
          <w:sz w:val="24"/>
          <w:szCs w:val="28"/>
        </w:rPr>
        <w:tab/>
      </w:r>
      <w:r>
        <w:rPr>
          <w:rFonts w:ascii="微软雅黑" w:hAnsi="微软雅黑" w:eastAsia="微软雅黑"/>
          <w:sz w:val="24"/>
          <w:szCs w:val="28"/>
        </w:rPr>
        <w:t>⑶</w:t>
      </w:r>
      <w:r>
        <w:rPr>
          <w:rFonts w:hint="eastAsia" w:ascii="微软雅黑" w:hAnsi="微软雅黑" w:eastAsia="微软雅黑"/>
          <w:sz w:val="24"/>
          <w:szCs w:val="28"/>
        </w:rPr>
        <w:t xml:space="preserve">、不得遗失、损毁客户提交的投保、保全、理赔的证明或文件； </w:t>
      </w:r>
    </w:p>
    <w:p w14:paraId="65AAB4B3">
      <w:pPr>
        <w:ind w:left="1320" w:hanging="1320" w:hangingChars="550"/>
        <w:rPr>
          <w:rFonts w:ascii="微软雅黑" w:hAnsi="微软雅黑" w:eastAsia="微软雅黑"/>
          <w:sz w:val="24"/>
          <w:szCs w:val="28"/>
        </w:rPr>
      </w:pPr>
      <w:r>
        <w:rPr>
          <w:rFonts w:ascii="微软雅黑" w:hAnsi="微软雅黑" w:eastAsia="微软雅黑"/>
          <w:sz w:val="24"/>
          <w:szCs w:val="28"/>
        </w:rPr>
        <w:tab/>
      </w:r>
      <w:r>
        <w:rPr>
          <w:rFonts w:ascii="微软雅黑" w:hAnsi="微软雅黑" w:eastAsia="微软雅黑"/>
          <w:sz w:val="24"/>
          <w:szCs w:val="28"/>
        </w:rPr>
        <w:t>⑷</w:t>
      </w:r>
      <w:r>
        <w:rPr>
          <w:rFonts w:hint="eastAsia" w:ascii="微软雅黑" w:hAnsi="微软雅黑" w:eastAsia="微软雅黑"/>
          <w:sz w:val="24"/>
          <w:szCs w:val="28"/>
        </w:rPr>
        <w:t>、不得超出公司规定的管理权限和流程处置业务事项；</w:t>
      </w:r>
    </w:p>
    <w:p w14:paraId="104F929A">
      <w:pPr>
        <w:ind w:left="1320" w:hanging="1320" w:hangingChars="550"/>
        <w:rPr>
          <w:rFonts w:ascii="微软雅黑" w:hAnsi="微软雅黑" w:eastAsia="微软雅黑"/>
          <w:sz w:val="24"/>
          <w:szCs w:val="28"/>
        </w:rPr>
      </w:pPr>
      <w:r>
        <w:rPr>
          <w:rFonts w:ascii="微软雅黑" w:hAnsi="微软雅黑" w:eastAsia="微软雅黑"/>
          <w:sz w:val="24"/>
          <w:szCs w:val="28"/>
        </w:rPr>
        <w:tab/>
      </w:r>
      <w:r>
        <w:rPr>
          <w:rFonts w:ascii="微软雅黑" w:hAnsi="微软雅黑" w:eastAsia="微软雅黑"/>
          <w:sz w:val="24"/>
          <w:szCs w:val="28"/>
        </w:rPr>
        <w:t>⑸</w:t>
      </w:r>
      <w:r>
        <w:rPr>
          <w:rFonts w:hint="eastAsia" w:ascii="微软雅黑" w:hAnsi="微软雅黑" w:eastAsia="微软雅黑"/>
          <w:sz w:val="24"/>
          <w:szCs w:val="28"/>
        </w:rPr>
        <w:t>、不得违反公司财务规范进行费用收支操作；</w:t>
      </w:r>
    </w:p>
    <w:p w14:paraId="1CDB9863">
      <w:pPr>
        <w:ind w:left="1320" w:hanging="1320" w:hangingChars="550"/>
        <w:rPr>
          <w:rFonts w:ascii="微软雅黑" w:hAnsi="微软雅黑" w:eastAsia="微软雅黑"/>
          <w:sz w:val="24"/>
          <w:szCs w:val="28"/>
        </w:rPr>
      </w:pPr>
      <w:r>
        <w:rPr>
          <w:rFonts w:ascii="微软雅黑" w:hAnsi="微软雅黑" w:eastAsia="微软雅黑"/>
          <w:sz w:val="24"/>
          <w:szCs w:val="28"/>
        </w:rPr>
        <w:tab/>
      </w:r>
      <w:r>
        <w:rPr>
          <w:rFonts w:ascii="微软雅黑" w:hAnsi="微软雅黑" w:eastAsia="微软雅黑"/>
          <w:sz w:val="24"/>
          <w:szCs w:val="28"/>
        </w:rPr>
        <w:t>⑹</w:t>
      </w:r>
      <w:r>
        <w:rPr>
          <w:rFonts w:hint="eastAsia" w:ascii="微软雅黑" w:hAnsi="微软雅黑" w:eastAsia="微软雅黑"/>
          <w:sz w:val="24"/>
          <w:szCs w:val="28"/>
        </w:rPr>
        <w:t>、不得迟滞、延误核心业务系统的数据录入、采集和上报；</w:t>
      </w:r>
    </w:p>
    <w:p w14:paraId="3B291C39">
      <w:pPr>
        <w:ind w:left="1320" w:hanging="1320" w:hangingChars="550"/>
        <w:rPr>
          <w:rFonts w:ascii="微软雅黑" w:hAnsi="微软雅黑" w:eastAsia="微软雅黑"/>
          <w:sz w:val="24"/>
          <w:szCs w:val="28"/>
        </w:rPr>
      </w:pPr>
      <w:r>
        <w:rPr>
          <w:rFonts w:ascii="微软雅黑" w:hAnsi="微软雅黑" w:eastAsia="微软雅黑"/>
          <w:sz w:val="24"/>
          <w:szCs w:val="28"/>
        </w:rPr>
        <w:tab/>
      </w:r>
      <w:r>
        <w:rPr>
          <w:rFonts w:ascii="微软雅黑" w:hAnsi="微软雅黑" w:eastAsia="微软雅黑"/>
          <w:sz w:val="24"/>
          <w:szCs w:val="28"/>
        </w:rPr>
        <w:t>⑺</w:t>
      </w:r>
      <w:r>
        <w:rPr>
          <w:rFonts w:hint="eastAsia" w:ascii="微软雅黑" w:hAnsi="微软雅黑" w:eastAsia="微软雅黑"/>
          <w:sz w:val="24"/>
          <w:szCs w:val="28"/>
        </w:rPr>
        <w:t>、不得未经批准提前或越权、越级开展业务；</w:t>
      </w:r>
    </w:p>
    <w:p w14:paraId="7829FB52">
      <w:pPr>
        <w:ind w:left="1320" w:hanging="1320" w:hangingChars="550"/>
        <w:rPr>
          <w:rFonts w:ascii="微软雅黑" w:hAnsi="微软雅黑" w:eastAsia="微软雅黑"/>
          <w:sz w:val="24"/>
          <w:szCs w:val="28"/>
        </w:rPr>
      </w:pPr>
      <w:r>
        <w:rPr>
          <w:rFonts w:ascii="微软雅黑" w:hAnsi="微软雅黑" w:eastAsia="微软雅黑"/>
          <w:sz w:val="24"/>
          <w:szCs w:val="28"/>
        </w:rPr>
        <w:tab/>
      </w:r>
      <w:r>
        <w:rPr>
          <w:rFonts w:ascii="微软雅黑" w:hAnsi="微软雅黑" w:eastAsia="微软雅黑"/>
          <w:sz w:val="24"/>
          <w:szCs w:val="28"/>
        </w:rPr>
        <w:t>⑻</w:t>
      </w:r>
      <w:r>
        <w:rPr>
          <w:rFonts w:hint="eastAsia" w:ascii="微软雅黑" w:hAnsi="微软雅黑" w:eastAsia="微软雅黑"/>
          <w:sz w:val="24"/>
          <w:szCs w:val="28"/>
        </w:rPr>
        <w:t>、不得擅自超出业务成本或费率政策制订营销方案；</w:t>
      </w:r>
    </w:p>
    <w:p w14:paraId="6BD7AEC0">
      <w:pPr>
        <w:ind w:left="1320" w:hanging="1320" w:hangingChars="550"/>
        <w:rPr>
          <w:rFonts w:ascii="微软雅黑" w:hAnsi="微软雅黑" w:eastAsia="微软雅黑"/>
          <w:sz w:val="24"/>
          <w:szCs w:val="28"/>
        </w:rPr>
      </w:pPr>
      <w:r>
        <w:rPr>
          <w:rFonts w:hint="eastAsia" w:ascii="微软雅黑" w:hAnsi="微软雅黑" w:eastAsia="微软雅黑"/>
          <w:sz w:val="24"/>
          <w:szCs w:val="28"/>
        </w:rPr>
        <w:t>第六十一条 对违反本规定第五十八条各项条款的个人及负有管理职责的负责人，公司依据违规情节、后果的严重程度，将采取以下措施：</w:t>
      </w:r>
    </w:p>
    <w:p w14:paraId="6649B79A">
      <w:pPr>
        <w:ind w:left="1320" w:hanging="1320" w:hangingChars="550"/>
        <w:rPr>
          <w:rFonts w:ascii="微软雅黑" w:hAnsi="微软雅黑" w:eastAsia="微软雅黑"/>
          <w:sz w:val="24"/>
          <w:szCs w:val="28"/>
        </w:rPr>
      </w:pPr>
      <w:r>
        <w:rPr>
          <w:rFonts w:ascii="微软雅黑" w:hAnsi="微软雅黑" w:eastAsia="微软雅黑"/>
          <w:sz w:val="24"/>
          <w:szCs w:val="28"/>
        </w:rPr>
        <w:tab/>
      </w:r>
      <w:r>
        <w:rPr>
          <w:rFonts w:ascii="微软雅黑" w:hAnsi="微软雅黑" w:eastAsia="微软雅黑"/>
          <w:sz w:val="24"/>
          <w:szCs w:val="28"/>
        </w:rPr>
        <w:t>⑴</w:t>
      </w:r>
      <w:r>
        <w:rPr>
          <w:rFonts w:hint="eastAsia" w:ascii="微软雅黑" w:hAnsi="微软雅黑" w:eastAsia="微软雅黑"/>
          <w:sz w:val="24"/>
          <w:szCs w:val="28"/>
        </w:rPr>
        <w:t>、情节较轻、尚未造成严重后果的，可酌情处以通报批评、停职降职、扣减绩效，追讨赔偿损失等处分；</w:t>
      </w:r>
    </w:p>
    <w:p w14:paraId="6D34A176">
      <w:pPr>
        <w:ind w:left="1320" w:hanging="1320" w:hangingChars="550"/>
        <w:rPr>
          <w:rFonts w:ascii="微软雅黑" w:hAnsi="微软雅黑" w:eastAsia="微软雅黑"/>
          <w:sz w:val="24"/>
          <w:szCs w:val="28"/>
        </w:rPr>
      </w:pPr>
      <w:r>
        <w:rPr>
          <w:rFonts w:ascii="微软雅黑" w:hAnsi="微软雅黑" w:eastAsia="微软雅黑"/>
          <w:sz w:val="24"/>
          <w:szCs w:val="28"/>
        </w:rPr>
        <w:tab/>
      </w:r>
      <w:r>
        <w:rPr>
          <w:rFonts w:ascii="微软雅黑" w:hAnsi="微软雅黑" w:eastAsia="微软雅黑"/>
          <w:sz w:val="24"/>
          <w:szCs w:val="28"/>
        </w:rPr>
        <w:t>⑵</w:t>
      </w:r>
      <w:r>
        <w:rPr>
          <w:rFonts w:hint="eastAsia" w:ascii="微软雅黑" w:hAnsi="微软雅黑" w:eastAsia="微软雅黑"/>
          <w:sz w:val="24"/>
          <w:szCs w:val="28"/>
        </w:rPr>
        <w:t>、情节严重、造成严重后果的，予以追讨赔偿损失、除名、通报行业、报送监管处罚等处分；</w:t>
      </w:r>
    </w:p>
    <w:p w14:paraId="48672798">
      <w:pPr>
        <w:ind w:left="1320" w:hanging="1320" w:hangingChars="550"/>
        <w:rPr>
          <w:rFonts w:ascii="微软雅黑" w:hAnsi="微软雅黑" w:eastAsia="微软雅黑"/>
          <w:sz w:val="24"/>
          <w:szCs w:val="28"/>
        </w:rPr>
      </w:pPr>
      <w:r>
        <w:rPr>
          <w:rFonts w:ascii="微软雅黑" w:hAnsi="微软雅黑" w:eastAsia="微软雅黑"/>
          <w:sz w:val="24"/>
          <w:szCs w:val="28"/>
        </w:rPr>
        <w:tab/>
      </w:r>
      <w:r>
        <w:rPr>
          <w:rFonts w:ascii="微软雅黑" w:hAnsi="微软雅黑" w:eastAsia="微软雅黑"/>
          <w:sz w:val="24"/>
          <w:szCs w:val="28"/>
        </w:rPr>
        <w:t>⑶</w:t>
      </w:r>
      <w:r>
        <w:rPr>
          <w:rFonts w:hint="eastAsia" w:ascii="微软雅黑" w:hAnsi="微软雅黑" w:eastAsia="微软雅黑"/>
          <w:sz w:val="24"/>
          <w:szCs w:val="28"/>
        </w:rPr>
        <w:t>、构成犯罪的，一律依法报送司法处置。</w:t>
      </w:r>
    </w:p>
    <w:p w14:paraId="07938D49">
      <w:pPr>
        <w:ind w:left="1320" w:hanging="1320" w:hangingChars="550"/>
        <w:rPr>
          <w:rFonts w:ascii="微软雅黑" w:hAnsi="微软雅黑" w:eastAsia="微软雅黑"/>
          <w:sz w:val="24"/>
          <w:szCs w:val="28"/>
        </w:rPr>
      </w:pPr>
      <w:r>
        <w:rPr>
          <w:rFonts w:hint="eastAsia" w:ascii="微软雅黑" w:hAnsi="微软雅黑" w:eastAsia="微软雅黑"/>
          <w:sz w:val="24"/>
          <w:szCs w:val="28"/>
        </w:rPr>
        <w:t>第六十二条 对违反本规定第五十九条各项条款的个人及负有管理职责的负责人，公司视情节与后果严重程度，给予以下处分：</w:t>
      </w:r>
    </w:p>
    <w:p w14:paraId="4F692035">
      <w:pPr>
        <w:ind w:left="1320" w:hanging="1320" w:hangingChars="550"/>
        <w:rPr>
          <w:rFonts w:ascii="微软雅黑" w:hAnsi="微软雅黑" w:eastAsia="微软雅黑"/>
          <w:sz w:val="24"/>
          <w:szCs w:val="28"/>
        </w:rPr>
      </w:pPr>
      <w:r>
        <w:rPr>
          <w:rFonts w:ascii="微软雅黑" w:hAnsi="微软雅黑" w:eastAsia="微软雅黑"/>
          <w:sz w:val="24"/>
          <w:szCs w:val="28"/>
        </w:rPr>
        <w:tab/>
      </w:r>
      <w:r>
        <w:rPr>
          <w:rFonts w:ascii="微软雅黑" w:hAnsi="微软雅黑" w:eastAsia="微软雅黑"/>
          <w:sz w:val="24"/>
          <w:szCs w:val="28"/>
        </w:rPr>
        <w:t>⑴</w:t>
      </w:r>
      <w:r>
        <w:rPr>
          <w:rFonts w:hint="eastAsia" w:ascii="微软雅黑" w:hAnsi="微软雅黑" w:eastAsia="微软雅黑"/>
          <w:sz w:val="24"/>
          <w:szCs w:val="28"/>
        </w:rPr>
        <w:t>、经由当事人主动报告、公司内部举报或公司内审自查发现，尚无严重后果的，酌情给予警告、通报批评、停职降职、扣减绩效等处分；</w:t>
      </w:r>
    </w:p>
    <w:p w14:paraId="6DFEF4B6">
      <w:pPr>
        <w:ind w:left="1320" w:hanging="1320" w:hangingChars="550"/>
        <w:rPr>
          <w:rFonts w:ascii="微软雅黑" w:hAnsi="微软雅黑" w:eastAsia="微软雅黑"/>
          <w:sz w:val="24"/>
          <w:szCs w:val="28"/>
        </w:rPr>
      </w:pPr>
      <w:r>
        <w:rPr>
          <w:rFonts w:ascii="微软雅黑" w:hAnsi="微软雅黑" w:eastAsia="微软雅黑"/>
          <w:sz w:val="24"/>
          <w:szCs w:val="28"/>
        </w:rPr>
        <w:tab/>
      </w:r>
      <w:r>
        <w:rPr>
          <w:rFonts w:ascii="微软雅黑" w:hAnsi="微软雅黑" w:eastAsia="微软雅黑"/>
          <w:sz w:val="24"/>
          <w:szCs w:val="28"/>
        </w:rPr>
        <w:t>⑵</w:t>
      </w:r>
      <w:r>
        <w:rPr>
          <w:rFonts w:hint="eastAsia" w:ascii="微软雅黑" w:hAnsi="微软雅黑" w:eastAsia="微软雅黑"/>
          <w:sz w:val="24"/>
          <w:szCs w:val="28"/>
        </w:rPr>
        <w:t>、对经由同业举报、外审或监管检查发现，或造成严重后果的，公司根据其所造成后果及负面影响的严重程度，酌情给予停职降职、扣减绩效、追讨赔偿损失、除名、通报行业、报送监管处罚等处分；</w:t>
      </w:r>
    </w:p>
    <w:p w14:paraId="5B789EAC">
      <w:pPr>
        <w:ind w:left="1320" w:hanging="1320" w:hangingChars="550"/>
        <w:rPr>
          <w:rFonts w:ascii="微软雅黑" w:hAnsi="微软雅黑" w:eastAsia="微软雅黑"/>
          <w:sz w:val="24"/>
          <w:szCs w:val="28"/>
        </w:rPr>
      </w:pPr>
      <w:r>
        <w:rPr>
          <w:rFonts w:ascii="微软雅黑" w:hAnsi="微软雅黑" w:eastAsia="微软雅黑"/>
          <w:sz w:val="24"/>
          <w:szCs w:val="28"/>
        </w:rPr>
        <w:tab/>
      </w:r>
      <w:r>
        <w:rPr>
          <w:rFonts w:ascii="微软雅黑" w:hAnsi="微软雅黑" w:eastAsia="微软雅黑"/>
          <w:sz w:val="24"/>
          <w:szCs w:val="28"/>
        </w:rPr>
        <w:t>⑶</w:t>
      </w:r>
      <w:r>
        <w:rPr>
          <w:rFonts w:hint="eastAsia" w:ascii="微软雅黑" w:hAnsi="微软雅黑" w:eastAsia="微软雅黑"/>
          <w:sz w:val="24"/>
          <w:szCs w:val="28"/>
        </w:rPr>
        <w:t>、对于情节恶劣、后果特别严重或造成严重负面社会影响的，公司采取前述处分措施之外，还对责任人采取：向监管部门提请行业禁入、司法诉讼追讨损失等措施。</w:t>
      </w:r>
    </w:p>
    <w:p w14:paraId="71C6BF8C">
      <w:pPr>
        <w:ind w:left="1320" w:hanging="1320" w:hangingChars="550"/>
        <w:rPr>
          <w:rFonts w:ascii="微软雅黑" w:hAnsi="微软雅黑" w:eastAsia="微软雅黑"/>
          <w:sz w:val="24"/>
          <w:szCs w:val="28"/>
        </w:rPr>
      </w:pPr>
      <w:r>
        <w:rPr>
          <w:rFonts w:hint="eastAsia" w:ascii="微软雅黑" w:hAnsi="微软雅黑" w:eastAsia="微软雅黑"/>
          <w:sz w:val="24"/>
          <w:szCs w:val="28"/>
        </w:rPr>
        <w:t>第六十三条 对有违反本规定第六十条各项条款的个人及负有管理职责的责任人，公司将酌情予以警告、通报批评、扣减绩效、停职降职等处分。</w:t>
      </w:r>
    </w:p>
    <w:p w14:paraId="60BDCE0B">
      <w:pPr>
        <w:ind w:left="1320" w:hanging="1320" w:hangingChars="550"/>
        <w:rPr>
          <w:rFonts w:ascii="微软雅黑" w:hAnsi="微软雅黑" w:eastAsia="微软雅黑"/>
          <w:sz w:val="24"/>
          <w:szCs w:val="28"/>
        </w:rPr>
      </w:pPr>
      <w:r>
        <w:rPr>
          <w:rFonts w:hint="eastAsia" w:ascii="微软雅黑" w:hAnsi="微软雅黑" w:eastAsia="微软雅黑"/>
          <w:sz w:val="24"/>
          <w:szCs w:val="28"/>
        </w:rPr>
        <w:t>第六十四条 对违反本规定并受到公司通报批评以上处分的责任人，自处分正式下达之日起1年内不得晋升。</w:t>
      </w:r>
    </w:p>
    <w:p w14:paraId="33C1E271">
      <w:pPr>
        <w:ind w:left="1320" w:hanging="1321" w:hangingChars="550"/>
        <w:jc w:val="center"/>
        <w:rPr>
          <w:rFonts w:ascii="微软雅黑" w:hAnsi="微软雅黑" w:eastAsia="微软雅黑"/>
          <w:b/>
          <w:bCs/>
          <w:sz w:val="24"/>
          <w:szCs w:val="28"/>
        </w:rPr>
      </w:pPr>
      <w:r>
        <w:rPr>
          <w:rFonts w:hint="eastAsia" w:ascii="微软雅黑" w:hAnsi="微软雅黑" w:eastAsia="微软雅黑"/>
          <w:b/>
          <w:bCs/>
          <w:sz w:val="24"/>
          <w:szCs w:val="28"/>
        </w:rPr>
        <w:t>第五部分 附则</w:t>
      </w:r>
    </w:p>
    <w:p w14:paraId="343D29D1">
      <w:pPr>
        <w:ind w:left="1320" w:hanging="1320" w:hangingChars="550"/>
        <w:rPr>
          <w:rFonts w:ascii="微软雅黑" w:hAnsi="微软雅黑" w:eastAsia="微软雅黑"/>
          <w:sz w:val="24"/>
          <w:szCs w:val="28"/>
        </w:rPr>
      </w:pPr>
      <w:r>
        <w:rPr>
          <w:rFonts w:hint="eastAsia" w:ascii="微软雅黑" w:hAnsi="微软雅黑" w:eastAsia="微软雅黑"/>
          <w:sz w:val="24"/>
          <w:szCs w:val="28"/>
        </w:rPr>
        <w:t>第六十五条 本规定中的有关事项在公司其它规范或制度有明确说明的，从其规定；在其它规范或制度中未明确说明的，以本规定为准。</w:t>
      </w:r>
    </w:p>
    <w:p w14:paraId="323FBC70">
      <w:pPr>
        <w:ind w:left="1320" w:hanging="1320" w:hangingChars="550"/>
        <w:rPr>
          <w:rFonts w:ascii="微软雅黑" w:hAnsi="微软雅黑" w:eastAsia="微软雅黑"/>
          <w:sz w:val="24"/>
          <w:szCs w:val="28"/>
        </w:rPr>
      </w:pPr>
      <w:r>
        <w:rPr>
          <w:rFonts w:hint="eastAsia" w:ascii="微软雅黑" w:hAnsi="微软雅黑" w:eastAsia="微软雅黑"/>
          <w:sz w:val="24"/>
          <w:szCs w:val="28"/>
        </w:rPr>
        <w:t>第六十六条 本规定中的所有事项与相关法律法规及监管政策不一致时，以法律法规及监管政策为准。</w:t>
      </w:r>
    </w:p>
    <w:p w14:paraId="124162E7">
      <w:pPr>
        <w:ind w:left="1320" w:hanging="1320" w:hangingChars="550"/>
        <w:rPr>
          <w:rFonts w:ascii="微软雅黑" w:hAnsi="微软雅黑" w:eastAsia="微软雅黑"/>
          <w:sz w:val="24"/>
          <w:szCs w:val="28"/>
        </w:rPr>
      </w:pPr>
      <w:r>
        <w:rPr>
          <w:rFonts w:hint="eastAsia" w:ascii="微软雅黑" w:hAnsi="微软雅黑" w:eastAsia="微软雅黑"/>
          <w:sz w:val="24"/>
          <w:szCs w:val="28"/>
        </w:rPr>
        <w:t>第六十七条 本规定由东方大地保险经纪有限公司总经理室负责修订与解释。</w:t>
      </w:r>
    </w:p>
    <w:p w14:paraId="0EAC84FE">
      <w:pPr>
        <w:ind w:left="1320" w:hanging="1320" w:hangingChars="550"/>
        <w:rPr>
          <w:rFonts w:hint="eastAsia" w:ascii="微软雅黑" w:hAnsi="微软雅黑" w:eastAsia="微软雅黑"/>
          <w:sz w:val="24"/>
          <w:szCs w:val="28"/>
        </w:rPr>
      </w:pPr>
      <w:r>
        <w:rPr>
          <w:rFonts w:hint="eastAsia" w:ascii="微软雅黑" w:hAnsi="微软雅黑" w:eastAsia="微软雅黑"/>
          <w:sz w:val="24"/>
          <w:szCs w:val="28"/>
        </w:rPr>
        <w:t>第六十八条 本规定执行或修订执行之日以公司正式发文为准。</w:t>
      </w:r>
    </w:p>
    <w:sectPr>
      <w:headerReference r:id="rId3" w:type="default"/>
      <w:footerReference r:id="rId4"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微软雅黑">
    <w:panose1 w:val="020B0503020204020204"/>
    <w:charset w:val="86"/>
    <w:family w:val="swiss"/>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BCB9DC">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ABB6F48">
                          <w:pPr>
                            <w:pStyle w:val="2"/>
                          </w:pPr>
                          <w:r>
                            <w:fldChar w:fldCharType="begin"/>
                          </w:r>
                          <w:r>
                            <w:instrText xml:space="preserve"> PAGE  \* MERGEFORMAT </w:instrText>
                          </w:r>
                          <w:r>
                            <w:fldChar w:fldCharType="separate"/>
                          </w:r>
                          <w:r>
                            <w:t>1</w:t>
                          </w:r>
                          <w:r>
                            <w:fldChar w:fldCharType="end"/>
                          </w:r>
                          <w:r>
                            <w:t xml:space="preserve"> / </w:t>
                          </w:r>
                          <w:r>
                            <w:fldChar w:fldCharType="begin"/>
                          </w:r>
                          <w:r>
                            <w:instrText xml:space="preserve"> NUMPAGES  \* MERGEFORMAT </w:instrText>
                          </w:r>
                          <w:r>
                            <w:fldChar w:fldCharType="separate"/>
                          </w:r>
                          <w:r>
                            <w:t>15</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14:paraId="1ABB6F48">
                    <w:pPr>
                      <w:pStyle w:val="2"/>
                    </w:pPr>
                    <w:r>
                      <w:fldChar w:fldCharType="begin"/>
                    </w:r>
                    <w:r>
                      <w:instrText xml:space="preserve"> PAGE  \* MERGEFORMAT </w:instrText>
                    </w:r>
                    <w:r>
                      <w:fldChar w:fldCharType="separate"/>
                    </w:r>
                    <w:r>
                      <w:t>1</w:t>
                    </w:r>
                    <w:r>
                      <w:fldChar w:fldCharType="end"/>
                    </w:r>
                    <w:r>
                      <w:t xml:space="preserve"> / </w:t>
                    </w:r>
                    <w:r>
                      <w:fldChar w:fldCharType="begin"/>
                    </w:r>
                    <w:r>
                      <w:instrText xml:space="preserve"> NUMPAGES  \* MERGEFORMAT </w:instrText>
                    </w:r>
                    <w:r>
                      <w:fldChar w:fldCharType="separate"/>
                    </w:r>
                    <w:r>
                      <w:t>15</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tbl>
    <w:tblPr>
      <w:tblStyle w:val="4"/>
      <w:tblpPr w:leftFromText="180" w:rightFromText="180" w:vertAnchor="page" w:horzAnchor="page" w:tblpX="1408" w:tblpY="1110"/>
      <w:tblOverlap w:val="never"/>
      <w:tblW w:w="9279" w:type="dxa"/>
      <w:tblInd w:w="0" w:type="dxa"/>
      <w:tblBorders>
        <w:top w:val="single" w:color="auto" w:sz="4" w:space="0"/>
        <w:left w:val="none" w:color="auto" w:sz="0" w:space="0"/>
        <w:bottom w:val="single" w:color="auto" w:sz="4"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2680"/>
      <w:gridCol w:w="4044"/>
      <w:gridCol w:w="2555"/>
    </w:tblGrid>
    <w:tr w14:paraId="1F131420">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006" w:hRule="atLeast"/>
      </w:trPr>
      <w:tc>
        <w:tcPr>
          <w:tcW w:w="2680" w:type="dxa"/>
          <w:vAlign w:val="center"/>
        </w:tcPr>
        <w:p w14:paraId="5284AAE8">
          <w:pPr>
            <w:rPr>
              <w:sz w:val="13"/>
            </w:rPr>
          </w:pPr>
          <w:r>
            <w:drawing>
              <wp:inline distT="0" distB="0" distL="0" distR="0">
                <wp:extent cx="1564640" cy="546735"/>
                <wp:effectExtent l="0" t="0" r="10160" b="12065"/>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1"/>
                        <a:stretch>
                          <a:fillRect/>
                        </a:stretch>
                      </pic:blipFill>
                      <pic:spPr>
                        <a:xfrm>
                          <a:off x="0" y="0"/>
                          <a:ext cx="1564640" cy="546735"/>
                        </a:xfrm>
                        <a:prstGeom prst="rect">
                          <a:avLst/>
                        </a:prstGeom>
                      </pic:spPr>
                    </pic:pic>
                  </a:graphicData>
                </a:graphic>
              </wp:inline>
            </w:drawing>
          </w:r>
        </w:p>
      </w:tc>
      <w:tc>
        <w:tcPr>
          <w:tcW w:w="4044" w:type="dxa"/>
          <w:vAlign w:val="center"/>
        </w:tcPr>
        <w:p w14:paraId="64AD5CBB">
          <w:pPr>
            <w:jc w:val="center"/>
            <w:rPr>
              <w:rFonts w:ascii="黑体" w:hAnsi="黑体" w:eastAsia="黑体"/>
              <w:b/>
            </w:rPr>
          </w:pPr>
          <w:r>
            <w:rPr>
              <w:rFonts w:hint="eastAsia" w:ascii="黑体" w:hAnsi="黑体" w:eastAsia="黑体"/>
              <w:b/>
            </w:rPr>
            <w:t>东方大地保险经纪有限公司</w:t>
          </w:r>
        </w:p>
        <w:p w14:paraId="799A7EDD">
          <w:pPr>
            <w:jc w:val="center"/>
            <w:rPr>
              <w:rFonts w:hint="default" w:ascii="黑体" w:hAnsi="黑体" w:eastAsia="黑体"/>
              <w:b/>
              <w:lang w:val="en-US" w:eastAsia="zh-CN"/>
            </w:rPr>
          </w:pPr>
          <w:r>
            <w:rPr>
              <w:rFonts w:hint="eastAsia" w:ascii="黑体" w:hAnsi="黑体" w:eastAsia="黑体"/>
              <w:b/>
              <w:lang w:val="en-US" w:eastAsia="zh-CN"/>
            </w:rPr>
            <w:t>销售业务管理规定</w:t>
          </w:r>
        </w:p>
      </w:tc>
      <w:tc>
        <w:tcPr>
          <w:tcW w:w="2555" w:type="dxa"/>
          <w:vAlign w:val="center"/>
        </w:tcPr>
        <w:p w14:paraId="5172F365">
          <w:pPr>
            <w:rPr>
              <w:rFonts w:hint="eastAsia" w:ascii="黑体" w:hAnsi="黑体" w:eastAsia="黑体"/>
              <w:sz w:val="21"/>
              <w:szCs w:val="21"/>
              <w:lang w:eastAsia="zh-CN"/>
            </w:rPr>
          </w:pPr>
          <w:r>
            <w:rPr>
              <w:rFonts w:hint="eastAsia" w:ascii="黑体" w:hAnsi="黑体" w:eastAsia="黑体"/>
              <w:sz w:val="21"/>
              <w:szCs w:val="21"/>
            </w:rPr>
            <w:t>编号：DFDD-ZD-</w:t>
          </w:r>
          <w:r>
            <w:rPr>
              <w:rFonts w:hint="eastAsia" w:ascii="黑体" w:hAnsi="黑体" w:eastAsia="黑体"/>
              <w:sz w:val="21"/>
              <w:szCs w:val="21"/>
              <w:lang w:val="en-US" w:eastAsia="zh-CN"/>
            </w:rPr>
            <w:t>YW</w:t>
          </w:r>
          <w:r>
            <w:rPr>
              <w:rFonts w:hint="eastAsia" w:ascii="黑体" w:hAnsi="黑体" w:eastAsia="黑体"/>
              <w:sz w:val="21"/>
              <w:szCs w:val="21"/>
            </w:rPr>
            <w:t>0</w:t>
          </w:r>
          <w:r>
            <w:rPr>
              <w:rFonts w:hint="eastAsia" w:ascii="黑体" w:hAnsi="黑体" w:eastAsia="黑体"/>
              <w:sz w:val="21"/>
              <w:szCs w:val="21"/>
              <w:lang w:val="en-US" w:eastAsia="zh-CN"/>
            </w:rPr>
            <w:t>4</w:t>
          </w:r>
        </w:p>
        <w:p w14:paraId="3284C419">
          <w:pPr>
            <w:rPr>
              <w:rFonts w:ascii="黑体" w:hAnsi="黑体" w:eastAsia="黑体"/>
              <w:color w:val="000000"/>
              <w:sz w:val="21"/>
              <w:szCs w:val="21"/>
            </w:rPr>
          </w:pPr>
          <w:r>
            <w:rPr>
              <w:rFonts w:hint="eastAsia" w:ascii="黑体" w:hAnsi="黑体" w:eastAsia="黑体"/>
              <w:sz w:val="21"/>
              <w:szCs w:val="21"/>
            </w:rPr>
            <w:t>版号：</w:t>
          </w:r>
          <w:r>
            <w:rPr>
              <w:rFonts w:hint="eastAsia" w:ascii="黑体" w:hAnsi="黑体" w:eastAsia="黑体"/>
              <w:sz w:val="21"/>
              <w:szCs w:val="21"/>
              <w:lang w:val="en-US" w:eastAsia="zh-CN"/>
            </w:rPr>
            <w:t>19</w:t>
          </w:r>
          <w:r>
            <w:rPr>
              <w:rFonts w:ascii="黑体" w:hAnsi="黑体" w:eastAsia="黑体"/>
              <w:sz w:val="21"/>
              <w:szCs w:val="21"/>
            </w:rPr>
            <w:t>A</w:t>
          </w:r>
          <w:r>
            <w:rPr>
              <w:rFonts w:hint="eastAsia" w:ascii="黑体" w:hAnsi="黑体" w:eastAsia="黑体"/>
              <w:sz w:val="21"/>
              <w:szCs w:val="21"/>
            </w:rPr>
            <w:t>/</w:t>
          </w:r>
          <w:r>
            <w:rPr>
              <w:rFonts w:ascii="黑体" w:hAnsi="黑体" w:eastAsia="黑体"/>
              <w:sz w:val="21"/>
              <w:szCs w:val="21"/>
            </w:rPr>
            <w:t>0</w:t>
          </w:r>
        </w:p>
        <w:p w14:paraId="19A3F620">
          <w:pPr>
            <w:rPr>
              <w:sz w:val="24"/>
            </w:rPr>
          </w:pPr>
          <w:r>
            <w:rPr>
              <w:rFonts w:hint="eastAsia" w:ascii="黑体" w:hAnsi="黑体" w:eastAsia="黑体"/>
              <w:sz w:val="21"/>
              <w:szCs w:val="21"/>
            </w:rPr>
            <w:t>页码：</w:t>
          </w:r>
          <w:r>
            <w:rPr>
              <w:rFonts w:hint="eastAsia" w:ascii="黑体" w:hAnsi="黑体" w:eastAsia="黑体"/>
              <w:kern w:val="0"/>
              <w:sz w:val="21"/>
              <w:szCs w:val="21"/>
            </w:rPr>
            <w:t xml:space="preserve">第 </w:t>
          </w:r>
          <w:r>
            <w:rPr>
              <w:rFonts w:ascii="黑体" w:hAnsi="黑体" w:eastAsia="黑体"/>
              <w:kern w:val="0"/>
              <w:sz w:val="21"/>
              <w:szCs w:val="21"/>
            </w:rPr>
            <w:fldChar w:fldCharType="begin"/>
          </w:r>
          <w:r>
            <w:rPr>
              <w:rFonts w:ascii="黑体" w:hAnsi="黑体" w:eastAsia="黑体"/>
              <w:kern w:val="0"/>
              <w:sz w:val="21"/>
              <w:szCs w:val="21"/>
            </w:rPr>
            <w:instrText xml:space="preserve"> PAGE </w:instrText>
          </w:r>
          <w:r>
            <w:rPr>
              <w:rFonts w:ascii="黑体" w:hAnsi="黑体" w:eastAsia="黑体"/>
              <w:kern w:val="0"/>
              <w:sz w:val="21"/>
              <w:szCs w:val="21"/>
            </w:rPr>
            <w:fldChar w:fldCharType="separate"/>
          </w:r>
          <w:r>
            <w:rPr>
              <w:rFonts w:ascii="黑体" w:hAnsi="黑体" w:eastAsia="黑体"/>
              <w:kern w:val="0"/>
              <w:sz w:val="21"/>
              <w:szCs w:val="21"/>
            </w:rPr>
            <w:t>5</w:t>
          </w:r>
          <w:r>
            <w:rPr>
              <w:rFonts w:ascii="黑体" w:hAnsi="黑体" w:eastAsia="黑体"/>
              <w:kern w:val="0"/>
              <w:sz w:val="21"/>
              <w:szCs w:val="21"/>
            </w:rPr>
            <w:fldChar w:fldCharType="end"/>
          </w:r>
          <w:r>
            <w:rPr>
              <w:rFonts w:hint="eastAsia" w:ascii="黑体" w:hAnsi="黑体" w:eastAsia="黑体"/>
              <w:kern w:val="0"/>
              <w:sz w:val="21"/>
              <w:szCs w:val="21"/>
            </w:rPr>
            <w:t xml:space="preserve"> 页 共</w:t>
          </w:r>
          <w:r>
            <w:rPr>
              <w:rFonts w:hint="eastAsia" w:ascii="黑体" w:hAnsi="黑体" w:eastAsia="黑体"/>
              <w:kern w:val="0"/>
              <w:sz w:val="21"/>
              <w:szCs w:val="21"/>
              <w:lang w:val="en-US" w:eastAsia="zh-CN"/>
            </w:rPr>
            <w:t>15</w:t>
          </w:r>
          <w:r>
            <w:rPr>
              <w:rFonts w:hint="eastAsia" w:ascii="黑体" w:hAnsi="黑体" w:eastAsia="黑体"/>
              <w:kern w:val="0"/>
              <w:sz w:val="21"/>
              <w:szCs w:val="21"/>
            </w:rPr>
            <w:t>页</w:t>
          </w:r>
        </w:p>
      </w:tc>
    </w:tr>
  </w:tbl>
  <w:p w14:paraId="64451E7B">
    <w:pPr>
      <w:pStyle w:val="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4674A"/>
    <w:rsid w:val="00055E88"/>
    <w:rsid w:val="00080607"/>
    <w:rsid w:val="00091467"/>
    <w:rsid w:val="000942A8"/>
    <w:rsid w:val="0009695C"/>
    <w:rsid w:val="000A244A"/>
    <w:rsid w:val="000C1794"/>
    <w:rsid w:val="000C678B"/>
    <w:rsid w:val="000D2F78"/>
    <w:rsid w:val="000D3112"/>
    <w:rsid w:val="000F6C79"/>
    <w:rsid w:val="00166CDB"/>
    <w:rsid w:val="00193698"/>
    <w:rsid w:val="001B2E0F"/>
    <w:rsid w:val="00205CC2"/>
    <w:rsid w:val="0023034D"/>
    <w:rsid w:val="00231020"/>
    <w:rsid w:val="002351FA"/>
    <w:rsid w:val="0024137B"/>
    <w:rsid w:val="002576C8"/>
    <w:rsid w:val="002879E7"/>
    <w:rsid w:val="002C59EA"/>
    <w:rsid w:val="00303E91"/>
    <w:rsid w:val="00323856"/>
    <w:rsid w:val="0034603A"/>
    <w:rsid w:val="00347B80"/>
    <w:rsid w:val="003530A6"/>
    <w:rsid w:val="00386EDA"/>
    <w:rsid w:val="00391820"/>
    <w:rsid w:val="003A0C96"/>
    <w:rsid w:val="003E1A8C"/>
    <w:rsid w:val="003F37C7"/>
    <w:rsid w:val="00402B35"/>
    <w:rsid w:val="00414A9E"/>
    <w:rsid w:val="00476E89"/>
    <w:rsid w:val="004B6696"/>
    <w:rsid w:val="004F430F"/>
    <w:rsid w:val="00547AC4"/>
    <w:rsid w:val="005512F3"/>
    <w:rsid w:val="00573885"/>
    <w:rsid w:val="005845D7"/>
    <w:rsid w:val="00587BAD"/>
    <w:rsid w:val="0059155F"/>
    <w:rsid w:val="005A6B15"/>
    <w:rsid w:val="005D3C37"/>
    <w:rsid w:val="005E7A19"/>
    <w:rsid w:val="00610BEF"/>
    <w:rsid w:val="00611CAA"/>
    <w:rsid w:val="00612B7A"/>
    <w:rsid w:val="00616E0B"/>
    <w:rsid w:val="00631401"/>
    <w:rsid w:val="006513FE"/>
    <w:rsid w:val="00655FA7"/>
    <w:rsid w:val="006F722D"/>
    <w:rsid w:val="00754072"/>
    <w:rsid w:val="0076481D"/>
    <w:rsid w:val="00771A01"/>
    <w:rsid w:val="007875F3"/>
    <w:rsid w:val="00790466"/>
    <w:rsid w:val="00790731"/>
    <w:rsid w:val="00794984"/>
    <w:rsid w:val="007F5853"/>
    <w:rsid w:val="00831867"/>
    <w:rsid w:val="00865CAB"/>
    <w:rsid w:val="0087569D"/>
    <w:rsid w:val="00892FD4"/>
    <w:rsid w:val="008A3BF2"/>
    <w:rsid w:val="008B464E"/>
    <w:rsid w:val="008E450B"/>
    <w:rsid w:val="008E6EB6"/>
    <w:rsid w:val="0093246F"/>
    <w:rsid w:val="00940025"/>
    <w:rsid w:val="009432A8"/>
    <w:rsid w:val="009940E9"/>
    <w:rsid w:val="009C3E4E"/>
    <w:rsid w:val="009E697B"/>
    <w:rsid w:val="00A07095"/>
    <w:rsid w:val="00A50E57"/>
    <w:rsid w:val="00A82D0C"/>
    <w:rsid w:val="00AC15EC"/>
    <w:rsid w:val="00AE24A9"/>
    <w:rsid w:val="00B01A62"/>
    <w:rsid w:val="00B25C22"/>
    <w:rsid w:val="00B349AF"/>
    <w:rsid w:val="00B3583F"/>
    <w:rsid w:val="00B5302F"/>
    <w:rsid w:val="00BC6627"/>
    <w:rsid w:val="00BE3EFE"/>
    <w:rsid w:val="00C066FD"/>
    <w:rsid w:val="00C22AD6"/>
    <w:rsid w:val="00C54102"/>
    <w:rsid w:val="00CA4B67"/>
    <w:rsid w:val="00CA5BED"/>
    <w:rsid w:val="00CB2073"/>
    <w:rsid w:val="00CB6B88"/>
    <w:rsid w:val="00CB7C61"/>
    <w:rsid w:val="00CE1125"/>
    <w:rsid w:val="00CE16EC"/>
    <w:rsid w:val="00CF759C"/>
    <w:rsid w:val="00D424D7"/>
    <w:rsid w:val="00D4674A"/>
    <w:rsid w:val="00D46EC9"/>
    <w:rsid w:val="00D56C0F"/>
    <w:rsid w:val="00D6674B"/>
    <w:rsid w:val="00DA7452"/>
    <w:rsid w:val="00DB2E3C"/>
    <w:rsid w:val="00DB7862"/>
    <w:rsid w:val="00DD00AF"/>
    <w:rsid w:val="00DF7FB5"/>
    <w:rsid w:val="00E130FC"/>
    <w:rsid w:val="00E22804"/>
    <w:rsid w:val="00E22B91"/>
    <w:rsid w:val="00E71C2D"/>
    <w:rsid w:val="00E759AD"/>
    <w:rsid w:val="00E86677"/>
    <w:rsid w:val="00EB70FC"/>
    <w:rsid w:val="00EF3F51"/>
    <w:rsid w:val="00EF5E1B"/>
    <w:rsid w:val="00F052E3"/>
    <w:rsid w:val="00F05684"/>
    <w:rsid w:val="00F136B9"/>
    <w:rsid w:val="00F464D5"/>
    <w:rsid w:val="00F673D1"/>
    <w:rsid w:val="00FA3325"/>
    <w:rsid w:val="00FF08C7"/>
    <w:rsid w:val="00FF571C"/>
    <w:rsid w:val="05C011AA"/>
    <w:rsid w:val="2B2116B3"/>
    <w:rsid w:val="77D57E4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unhideWhenUsed/>
    <w:qFormat/>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2">
    <w:name w:val="footer"/>
    <w:basedOn w:val="1"/>
    <w:link w:val="7"/>
    <w:unhideWhenUsed/>
    <w:qFormat/>
    <w:uiPriority w:val="99"/>
    <w:pPr>
      <w:tabs>
        <w:tab w:val="center" w:pos="4153"/>
        <w:tab w:val="right" w:pos="8306"/>
      </w:tabs>
      <w:snapToGrid w:val="0"/>
      <w:jc w:val="left"/>
    </w:pPr>
    <w:rPr>
      <w:sz w:val="18"/>
      <w:szCs w:val="18"/>
    </w:rPr>
  </w:style>
  <w:style w:type="paragraph" w:styleId="3">
    <w:name w:val="header"/>
    <w:basedOn w:val="1"/>
    <w:link w:val="6"/>
    <w:unhideWhenUsed/>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字符"/>
    <w:basedOn w:val="5"/>
    <w:link w:val="3"/>
    <w:qFormat/>
    <w:uiPriority w:val="99"/>
    <w:rPr>
      <w:sz w:val="18"/>
      <w:szCs w:val="18"/>
    </w:rPr>
  </w:style>
  <w:style w:type="character" w:customStyle="1" w:styleId="7">
    <w:name w:val="页脚 字符"/>
    <w:basedOn w:val="5"/>
    <w:link w:val="2"/>
    <w:uiPriority w:val="99"/>
    <w:rPr>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15</Pages>
  <Words>7514</Words>
  <Characters>7542</Characters>
  <Lines>55</Lines>
  <Paragraphs>15</Paragraphs>
  <TotalTime>0</TotalTime>
  <ScaleCrop>false</ScaleCrop>
  <LinksUpToDate>false</LinksUpToDate>
  <CharactersWithSpaces>7738</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2021-04-09T13:35:00Z</dcterms:created>
  <dc:creator>杨 晓</dc:creator>
  <cp:lastModifiedBy>Sunny</cp:lastModifiedBy>
  <dcterms:modified xsi:type="dcterms:W3CDTF">2026-01-15T07:13:34Z</dcterms:modified>
  <cp:revision>62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6DE09480A0D64F68AFFC41C0676BE0BA_13</vt:lpwstr>
  </property>
  <property fmtid="{D5CDD505-2E9C-101B-9397-08002B2CF9AE}" pid="4" name="KSOTemplateDocerSaveRecord">
    <vt:lpwstr>eyJoZGlkIjoiYTkzNTNjZmJkMDBlNjQ1MDA5YTRlMjM3ZDE4OTBiY2IiLCJ1c2VySWQiOiIxOTk4NjM2ODAifQ==</vt:lpwstr>
  </property>
</Properties>
</file>