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5CECAC">
      <w:pPr>
        <w:keepNext w:val="0"/>
        <w:keepLines w:val="0"/>
        <w:widowControl/>
        <w:suppressLineNumbers w:val="0"/>
        <w:spacing w:before="0" w:beforeAutospacing="0" w:after="0" w:afterAutospacing="0" w:line="580" w:lineRule="atLeast"/>
        <w:ind w:right="0"/>
        <w:jc w:val="center"/>
        <w:rPr>
          <w:rFonts w:hint="eastAsia" w:ascii="方正小标宋简体" w:hAnsi="方正小标宋简体" w:eastAsia="方正小标宋简体" w:cs="方正小标宋简体"/>
          <w:b/>
          <w:color w:val="000000"/>
          <w:kern w:val="0"/>
          <w:sz w:val="32"/>
          <w:szCs w:val="32"/>
          <w:shd w:val="clear" w:color="auto" w:fill="auto"/>
          <w:lang w:val="en-US" w:eastAsia="zh-CN" w:bidi="ar-SA"/>
        </w:rPr>
      </w:pPr>
      <w:bookmarkStart w:id="0" w:name="_GoBack"/>
      <w:bookmarkEnd w:id="0"/>
      <w:r>
        <w:rPr>
          <w:rFonts w:hint="eastAsia" w:ascii="方正小标宋简体" w:hAnsi="方正小标宋简体" w:eastAsia="方正小标宋简体" w:cs="方正小标宋简体"/>
          <w:b/>
          <w:color w:val="000000"/>
          <w:kern w:val="0"/>
          <w:sz w:val="32"/>
          <w:szCs w:val="32"/>
          <w:shd w:val="clear" w:color="auto" w:fill="auto"/>
          <w:lang w:val="en-US" w:eastAsia="zh-CN" w:bidi="ar-SA"/>
        </w:rPr>
        <w:t>东方大地（武汉）保险经纪有限公司</w:t>
      </w:r>
    </w:p>
    <w:p w14:paraId="201028D9">
      <w:pPr>
        <w:keepNext w:val="0"/>
        <w:keepLines w:val="0"/>
        <w:widowControl/>
        <w:suppressLineNumbers w:val="0"/>
        <w:spacing w:before="0" w:beforeAutospacing="0" w:after="0" w:afterAutospacing="0" w:line="580" w:lineRule="atLeast"/>
        <w:ind w:right="0"/>
        <w:jc w:val="center"/>
        <w:rPr>
          <w:rFonts w:hint="eastAsia" w:ascii="方正小标宋简体" w:hAnsi="方正小标宋简体" w:eastAsia="方正小标宋简体" w:cs="方正小标宋简体"/>
          <w:b/>
          <w:color w:val="000000"/>
          <w:kern w:val="0"/>
          <w:sz w:val="32"/>
          <w:szCs w:val="32"/>
          <w:shd w:val="clear" w:color="auto" w:fill="auto"/>
          <w:lang w:val="en-US" w:eastAsia="zh-CN" w:bidi="ar-SA"/>
        </w:rPr>
      </w:pPr>
      <w:r>
        <w:rPr>
          <w:rFonts w:hint="eastAsia" w:ascii="方正小标宋简体" w:hAnsi="方正小标宋简体" w:eastAsia="方正小标宋简体" w:cs="方正小标宋简体"/>
          <w:b/>
          <w:color w:val="000000"/>
          <w:kern w:val="0"/>
          <w:sz w:val="32"/>
          <w:szCs w:val="32"/>
          <w:shd w:val="clear" w:color="auto" w:fill="auto"/>
          <w:lang w:val="en-US" w:eastAsia="zh-CN" w:bidi="ar-SA"/>
        </w:rPr>
        <w:t>保险销售行为管理制度</w:t>
      </w:r>
    </w:p>
    <w:p w14:paraId="5437FC13">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sz w:val="24"/>
          <w:szCs w:val="24"/>
          <w:lang w:val="zh-CN"/>
        </w:rPr>
      </w:pPr>
      <w:r>
        <w:rPr>
          <w:rFonts w:hint="eastAsia" w:ascii="宋体" w:hAnsi="宋体" w:eastAsia="宋体" w:cs="宋体"/>
          <w:sz w:val="24"/>
          <w:szCs w:val="24"/>
          <w:lang w:val="zh-CN"/>
        </w:rPr>
        <w:t>强化销售宣传内容管理，防止片面不实宣传。保险销售宣传内容要与保险合同条款保持一致，不得错误解读监管政策，不得使用或者变相使用监管机构及其工作人员的名义或者形象作商业宣传。</w:t>
      </w:r>
    </w:p>
    <w:p w14:paraId="6DCC9E6C">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sz w:val="24"/>
          <w:szCs w:val="24"/>
          <w:lang w:val="en-US" w:eastAsia="zh-CN"/>
        </w:rPr>
      </w:pPr>
      <w:r>
        <w:rPr>
          <w:rFonts w:hint="eastAsia" w:ascii="宋体" w:hAnsi="宋体" w:eastAsia="宋体" w:cs="宋体"/>
          <w:sz w:val="24"/>
          <w:szCs w:val="24"/>
          <w:lang w:val="zh-CN"/>
        </w:rPr>
        <w:t>保险产品在宣传时应当与其他性质、类别的金融产品区分展示，并标明其保险性质。严格管控本公司及所属保险从业人员的自媒体保险营销宣传行为，杜绝出现违法违规和不当宣传。</w:t>
      </w:r>
    </w:p>
    <w:p w14:paraId="5E0AAD0F">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sz w:val="24"/>
          <w:szCs w:val="24"/>
          <w:lang w:val="en-US" w:eastAsia="zh-CN"/>
        </w:rPr>
      </w:pPr>
      <w:r>
        <w:rPr>
          <w:rFonts w:hint="eastAsia" w:ascii="宋体" w:hAnsi="宋体" w:eastAsia="宋体" w:cs="宋体"/>
          <w:sz w:val="24"/>
          <w:szCs w:val="24"/>
          <w:lang w:val="zh-CN"/>
        </w:rPr>
        <w:t>要用通俗清晰的语言，准确、全面地向消费者说明保险产品和服务，重点突出承保公司、产品类别、保障范围、保险期限、保险金额、保险费用、免除保险人责任条款等可能影响其决策的信息。</w:t>
      </w:r>
    </w:p>
    <w:p w14:paraId="4F61708E">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sz w:val="24"/>
          <w:szCs w:val="24"/>
          <w:lang w:val="en-US" w:eastAsia="zh-CN"/>
        </w:rPr>
      </w:pPr>
      <w:r>
        <w:rPr>
          <w:rFonts w:hint="eastAsia" w:ascii="宋体" w:hAnsi="宋体" w:eastAsia="宋体" w:cs="宋体"/>
          <w:sz w:val="24"/>
          <w:szCs w:val="24"/>
          <w:lang w:val="zh-CN"/>
        </w:rPr>
        <w:t>不得夸大产品功能，不得虚假承诺，不得诱导误导消费者。严格执行销售行为可回溯制度，切实落实“销售行为可回放、重要信息可查询、问题责任可确认”的监管要求。</w:t>
      </w:r>
    </w:p>
    <w:p w14:paraId="32A78DBC">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sz w:val="24"/>
          <w:szCs w:val="24"/>
          <w:lang w:val="zh-CN"/>
        </w:rPr>
      </w:pPr>
      <w:r>
        <w:rPr>
          <w:rFonts w:hint="eastAsia" w:ascii="宋体" w:hAnsi="宋体" w:eastAsia="宋体" w:cs="宋体"/>
          <w:sz w:val="24"/>
          <w:szCs w:val="24"/>
          <w:lang w:val="zh-CN"/>
        </w:rPr>
        <w:t>尊重客户的投保意愿，在客户明确拒绝投保的情况下，不得干扰客户的正常工作和生活，并对知悉的客户资料给予保密。</w:t>
      </w:r>
    </w:p>
    <w:p w14:paraId="3853C7F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sz w:val="24"/>
          <w:szCs w:val="24"/>
          <w:lang w:val="zh-CN"/>
        </w:rPr>
      </w:pPr>
      <w:r>
        <w:rPr>
          <w:rFonts w:hint="eastAsia" w:ascii="宋体" w:hAnsi="宋体" w:eastAsia="宋体" w:cs="宋体"/>
          <w:sz w:val="24"/>
          <w:szCs w:val="24"/>
          <w:lang w:val="en-US" w:eastAsia="zh-CN"/>
        </w:rPr>
        <w:t>六</w:t>
      </w:r>
      <w:r>
        <w:rPr>
          <w:rFonts w:hint="eastAsia" w:ascii="宋体" w:hAnsi="宋体" w:eastAsia="宋体" w:cs="宋体"/>
          <w:sz w:val="24"/>
          <w:szCs w:val="24"/>
          <w:lang w:val="zh-CN"/>
        </w:rPr>
        <w:t>、向客户推荐产品或提供服务时，严禁代替</w:t>
      </w:r>
      <w:r>
        <w:rPr>
          <w:rFonts w:hint="eastAsia" w:ascii="宋体" w:hAnsi="宋体" w:eastAsia="宋体" w:cs="宋体"/>
          <w:sz w:val="24"/>
          <w:szCs w:val="24"/>
          <w:lang w:val="zh-CN" w:eastAsia="zh-CN"/>
        </w:rPr>
        <w:t>客户</w:t>
      </w:r>
      <w:r>
        <w:rPr>
          <w:rFonts w:hint="eastAsia" w:ascii="宋体" w:hAnsi="宋体" w:eastAsia="宋体" w:cs="宋体"/>
          <w:sz w:val="24"/>
          <w:szCs w:val="24"/>
          <w:lang w:val="zh-CN"/>
        </w:rPr>
        <w:t>抄录有关风险提示确认语句，或在有关合同、风险揭示书等文件上代替客户签名。</w:t>
      </w:r>
    </w:p>
    <w:p w14:paraId="2C8F587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jc w:val="both"/>
        <w:textAlignment w:val="auto"/>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七、本公司应于每年第一季度向当地保监局报告上年度执行保险销售行为管理的情况。</w:t>
      </w:r>
    </w:p>
    <w:p w14:paraId="52A4A8C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jc w:val="both"/>
        <w:textAlignment w:val="auto"/>
        <w:outlineLvl w:val="9"/>
        <w:rPr>
          <w:rFonts w:hint="eastAsia" w:ascii="宋体" w:hAnsi="宋体" w:eastAsia="宋体" w:cs="宋体"/>
          <w:sz w:val="24"/>
          <w:szCs w:val="24"/>
          <w:lang w:val="en-US"/>
        </w:rPr>
      </w:pPr>
    </w:p>
    <w:p w14:paraId="4FED4D97"/>
    <w:sectPr>
      <w:headerReference r:id="rId3" w:type="default"/>
      <w:footerReference r:id="rId4" w:type="default"/>
      <w:footerReference r:id="rId5"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方正仿宋_GBK">
    <w:panose1 w:val="02000000000000000000"/>
    <w:charset w:val="86"/>
    <w:family w:val="auto"/>
    <w:pitch w:val="default"/>
    <w:sig w:usb0="A00002BF" w:usb1="38CF7CFA" w:usb2="00082016" w:usb3="00000000" w:csb0="00040001" w:csb1="00000000"/>
  </w:font>
  <w:font w:name="Cambria">
    <w:panose1 w:val="02040503050406030204"/>
    <w:charset w:val="00"/>
    <w:family w:val="roman"/>
    <w:pitch w:val="default"/>
    <w:sig w:usb0="E00006FF" w:usb1="420024FF" w:usb2="02000000" w:usb3="00000000" w:csb0="2000019F" w:csb1="00000000"/>
  </w:font>
  <w:font w:name="方正小标宋简体">
    <w:altName w:val="方正舒体"/>
    <w:panose1 w:val="03000509000000000000"/>
    <w:charset w:val="00"/>
    <w:family w:val="auto"/>
    <w:pitch w:val="default"/>
    <w:sig w:usb0="00000000" w:usb1="00000000" w:usb2="00000000" w:usb3="00000000" w:csb0="00040000" w:csb1="00000000"/>
  </w:font>
  <w:font w:name="汉仪书宋二KW">
    <w:altName w:val="宋体"/>
    <w:panose1 w:val="00020600040101010101"/>
    <w:charset w:val="86"/>
    <w:family w:val="auto"/>
    <w:pitch w:val="default"/>
    <w:sig w:usb0="00000000" w:usb1="00000000" w:usb2="00000016" w:usb3="00000000" w:csb0="00040000" w:csb1="00000000"/>
  </w:font>
  <w:font w:name="微软雅黑">
    <w:panose1 w:val="020B0503020204020204"/>
    <w:charset w:val="86"/>
    <w:family w:val="auto"/>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50151598"/>
    </w:sdtPr>
    <w:sdtContent>
      <w:sdt>
        <w:sdtPr>
          <w:id w:val="147451943"/>
        </w:sdtPr>
        <w:sdtContent>
          <w:p w14:paraId="5D377BE7">
            <w:pPr>
              <w:pStyle w:val="7"/>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3</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4</w:t>
            </w:r>
            <w:r>
              <w:rPr>
                <w:b/>
                <w:bCs/>
                <w:sz w:val="24"/>
                <w:szCs w:val="24"/>
              </w:rPr>
              <w:fldChar w:fldCharType="end"/>
            </w:r>
          </w:p>
        </w:sdtContent>
      </w:sdt>
    </w:sdtContent>
  </w:sdt>
  <w:p w14:paraId="344842AC">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7E82A">
    <w:pPr>
      <w:pStyle w:val="7"/>
      <w:framePr w:wrap="around" w:vAnchor="text" w:hAnchor="margin" w:xAlign="center" w:y="1"/>
      <w:rPr>
        <w:rStyle w:val="14"/>
      </w:rPr>
    </w:pPr>
    <w:r>
      <w:rPr>
        <w:rStyle w:val="14"/>
      </w:rPr>
      <w:fldChar w:fldCharType="begin"/>
    </w:r>
    <w:r>
      <w:rPr>
        <w:rStyle w:val="14"/>
      </w:rPr>
      <w:instrText xml:space="preserve">PAGE  </w:instrText>
    </w:r>
    <w:r>
      <w:rPr>
        <w:rStyle w:val="14"/>
      </w:rPr>
      <w:fldChar w:fldCharType="end"/>
    </w:r>
  </w:p>
  <w:p w14:paraId="5BDCCBDE">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12"/>
      <w:tblW w:w="9279"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80"/>
      <w:gridCol w:w="4044"/>
      <w:gridCol w:w="2555"/>
    </w:tblGrid>
    <w:tr w14:paraId="2C49266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2680" w:type="dxa"/>
          <w:vAlign w:val="center"/>
        </w:tcPr>
        <w:p w14:paraId="51BB5682">
          <w:pPr>
            <w:rPr>
              <w:sz w:val="13"/>
            </w:rPr>
          </w:pPr>
          <w:r>
            <w:drawing>
              <wp:inline distT="0" distB="0" distL="0" distR="0">
                <wp:extent cx="1564640" cy="546735"/>
                <wp:effectExtent l="0" t="0" r="0" b="57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564640" cy="546735"/>
                        </a:xfrm>
                        <a:prstGeom prst="rect">
                          <a:avLst/>
                        </a:prstGeom>
                      </pic:spPr>
                    </pic:pic>
                  </a:graphicData>
                </a:graphic>
              </wp:inline>
            </w:drawing>
          </w:r>
        </w:p>
      </w:tc>
      <w:tc>
        <w:tcPr>
          <w:tcW w:w="4044" w:type="dxa"/>
          <w:vAlign w:val="center"/>
        </w:tcPr>
        <w:p w14:paraId="270E2086">
          <w:pPr>
            <w:keepNext w:val="0"/>
            <w:keepLines w:val="0"/>
            <w:widowControl/>
            <w:suppressLineNumbers w:val="0"/>
            <w:spacing w:before="0" w:beforeAutospacing="0" w:after="0" w:afterAutospacing="0" w:line="580" w:lineRule="atLeast"/>
            <w:ind w:right="0"/>
            <w:jc w:val="center"/>
            <w:rPr>
              <w:rFonts w:ascii="黑体" w:hAnsi="黑体" w:eastAsia="黑体"/>
              <w:b/>
            </w:rPr>
          </w:pPr>
          <w:r>
            <w:rPr>
              <w:rFonts w:hint="eastAsia" w:ascii="微软雅黑" w:hAnsi="微软雅黑" w:eastAsia="微软雅黑" w:cs="微软雅黑"/>
              <w:b/>
              <w:color w:val="000000"/>
              <w:kern w:val="0"/>
              <w:sz w:val="28"/>
              <w:szCs w:val="28"/>
              <w:shd w:val="clear" w:color="auto" w:fill="auto"/>
              <w:lang w:val="en-US" w:eastAsia="zh-CN" w:bidi="ar-SA"/>
            </w:rPr>
            <w:t>东方大地（武汉）保险经纪有限公司保险销售行为管理制度</w:t>
          </w:r>
        </w:p>
      </w:tc>
      <w:tc>
        <w:tcPr>
          <w:tcW w:w="2555" w:type="dxa"/>
          <w:vAlign w:val="center"/>
        </w:tcPr>
        <w:p w14:paraId="5A06032F">
          <w:pPr>
            <w:rPr>
              <w:rFonts w:ascii="黑体" w:hAnsi="黑体" w:eastAsia="黑体"/>
              <w:sz w:val="21"/>
              <w:szCs w:val="21"/>
            </w:rPr>
          </w:pPr>
          <w:r>
            <w:rPr>
              <w:rFonts w:hint="eastAsia" w:ascii="黑体" w:hAnsi="黑体" w:eastAsia="黑体"/>
              <w:sz w:val="21"/>
              <w:szCs w:val="21"/>
            </w:rPr>
            <w:t>编号：</w:t>
          </w:r>
          <w:r>
            <w:rPr>
              <w:rFonts w:ascii="黑体" w:hAnsi="黑体" w:eastAsia="黑体"/>
              <w:sz w:val="21"/>
              <w:szCs w:val="21"/>
            </w:rPr>
            <w:t>DFDD-ZD-XS01</w:t>
          </w:r>
        </w:p>
        <w:p w14:paraId="54DD9BFA">
          <w:pPr>
            <w:rPr>
              <w:rFonts w:ascii="黑体" w:hAnsi="黑体" w:eastAsia="黑体"/>
              <w:color w:val="000000"/>
              <w:sz w:val="21"/>
              <w:szCs w:val="21"/>
            </w:rPr>
          </w:pPr>
          <w:r>
            <w:rPr>
              <w:rFonts w:hint="eastAsia" w:ascii="黑体" w:hAnsi="黑体" w:eastAsia="黑体"/>
              <w:sz w:val="21"/>
              <w:szCs w:val="21"/>
            </w:rPr>
            <w:t>版号：1</w:t>
          </w:r>
          <w:r>
            <w:rPr>
              <w:rFonts w:ascii="黑体" w:hAnsi="黑体" w:eastAsia="黑体"/>
              <w:sz w:val="21"/>
              <w:szCs w:val="21"/>
            </w:rPr>
            <w:t>8A</w:t>
          </w:r>
          <w:r>
            <w:rPr>
              <w:rFonts w:hint="eastAsia" w:ascii="黑体" w:hAnsi="黑体" w:eastAsia="黑体"/>
              <w:sz w:val="21"/>
              <w:szCs w:val="21"/>
            </w:rPr>
            <w:t>/</w:t>
          </w:r>
          <w:r>
            <w:rPr>
              <w:rFonts w:ascii="黑体" w:hAnsi="黑体" w:eastAsia="黑体"/>
              <w:sz w:val="21"/>
              <w:szCs w:val="21"/>
            </w:rPr>
            <w:t>0</w:t>
          </w:r>
        </w:p>
        <w:p w14:paraId="4AE74BB3">
          <w:pPr>
            <w:rPr>
              <w:sz w:val="24"/>
            </w:rPr>
          </w:pPr>
          <w:r>
            <w:rPr>
              <w:rFonts w:hint="eastAsia" w:ascii="黑体" w:hAnsi="黑体" w:eastAsia="黑体"/>
              <w:sz w:val="21"/>
              <w:szCs w:val="21"/>
            </w:rPr>
            <w:t>页码：</w:t>
          </w:r>
          <w:r>
            <w:rPr>
              <w:rFonts w:hint="eastAsia" w:ascii="黑体" w:hAnsi="黑体" w:eastAsia="黑体"/>
              <w:kern w:val="0"/>
              <w:sz w:val="21"/>
              <w:szCs w:val="21"/>
            </w:rPr>
            <w:t xml:space="preserve">第 </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3</w:t>
          </w:r>
          <w:r>
            <w:rPr>
              <w:rFonts w:ascii="黑体" w:hAnsi="黑体" w:eastAsia="黑体"/>
              <w:kern w:val="0"/>
              <w:sz w:val="21"/>
              <w:szCs w:val="21"/>
            </w:rPr>
            <w:fldChar w:fldCharType="end"/>
          </w:r>
          <w:r>
            <w:rPr>
              <w:rFonts w:hint="eastAsia" w:ascii="黑体" w:hAnsi="黑体" w:eastAsia="黑体"/>
              <w:kern w:val="0"/>
              <w:sz w:val="21"/>
              <w:szCs w:val="21"/>
            </w:rPr>
            <w:t xml:space="preserve"> 页 共</w:t>
          </w:r>
          <w:r>
            <w:rPr>
              <w:rFonts w:hint="default" w:ascii="黑体" w:hAnsi="黑体" w:eastAsia="黑体"/>
              <w:kern w:val="0"/>
              <w:sz w:val="21"/>
              <w:szCs w:val="21"/>
            </w:rPr>
            <w:t>1</w:t>
          </w:r>
          <w:r>
            <w:rPr>
              <w:rFonts w:hint="eastAsia" w:ascii="黑体" w:hAnsi="黑体" w:eastAsia="黑体"/>
              <w:kern w:val="0"/>
              <w:sz w:val="21"/>
              <w:szCs w:val="21"/>
            </w:rPr>
            <w:t>页</w:t>
          </w:r>
        </w:p>
      </w:tc>
    </w:tr>
  </w:tbl>
  <w:p w14:paraId="44D5CCEC">
    <w:pPr>
      <w:pStyle w:val="8"/>
      <w:pBdr>
        <w:bottom w:val="none" w:color="auto" w:sz="0" w:space="0"/>
      </w:pBdr>
      <w:tabs>
        <w:tab w:val="left" w:pos="4200"/>
        <w:tab w:val="left" w:pos="4620"/>
        <w:tab w:val="left" w:pos="5040"/>
        <w:tab w:val="left" w:pos="5460"/>
        <w:tab w:val="clear" w:pos="8306"/>
      </w:tabs>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18A9161"/>
    <w:multiLevelType w:val="singleLevel"/>
    <w:tmpl w:val="618A916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128"/>
    <w:rsid w:val="00004F16"/>
    <w:rsid w:val="00033C52"/>
    <w:rsid w:val="00035432"/>
    <w:rsid w:val="00064494"/>
    <w:rsid w:val="0007438B"/>
    <w:rsid w:val="00076118"/>
    <w:rsid w:val="000904C5"/>
    <w:rsid w:val="000B422E"/>
    <w:rsid w:val="000C7166"/>
    <w:rsid w:val="000E5752"/>
    <w:rsid w:val="000E7C57"/>
    <w:rsid w:val="000F491E"/>
    <w:rsid w:val="000F64BF"/>
    <w:rsid w:val="00116DCC"/>
    <w:rsid w:val="00126DFD"/>
    <w:rsid w:val="0015122A"/>
    <w:rsid w:val="00161C32"/>
    <w:rsid w:val="001909EE"/>
    <w:rsid w:val="001A2C54"/>
    <w:rsid w:val="001B0D01"/>
    <w:rsid w:val="001B1775"/>
    <w:rsid w:val="001E26C7"/>
    <w:rsid w:val="001E33FE"/>
    <w:rsid w:val="001E72B7"/>
    <w:rsid w:val="001E77E3"/>
    <w:rsid w:val="001F011F"/>
    <w:rsid w:val="002230EB"/>
    <w:rsid w:val="00257077"/>
    <w:rsid w:val="0026697B"/>
    <w:rsid w:val="00277BB7"/>
    <w:rsid w:val="00297E3A"/>
    <w:rsid w:val="002A6626"/>
    <w:rsid w:val="002E2A4C"/>
    <w:rsid w:val="002E4B96"/>
    <w:rsid w:val="002E5DFD"/>
    <w:rsid w:val="00300BA5"/>
    <w:rsid w:val="00300D93"/>
    <w:rsid w:val="003135FC"/>
    <w:rsid w:val="00352D32"/>
    <w:rsid w:val="00364A00"/>
    <w:rsid w:val="00371722"/>
    <w:rsid w:val="00372755"/>
    <w:rsid w:val="0038552B"/>
    <w:rsid w:val="003A5A5B"/>
    <w:rsid w:val="003B3B00"/>
    <w:rsid w:val="00415406"/>
    <w:rsid w:val="00426563"/>
    <w:rsid w:val="00442E00"/>
    <w:rsid w:val="004619A9"/>
    <w:rsid w:val="00472A68"/>
    <w:rsid w:val="004815C3"/>
    <w:rsid w:val="004A5161"/>
    <w:rsid w:val="004B6CC4"/>
    <w:rsid w:val="004D436B"/>
    <w:rsid w:val="004D632B"/>
    <w:rsid w:val="00511187"/>
    <w:rsid w:val="00526719"/>
    <w:rsid w:val="005367EF"/>
    <w:rsid w:val="00536D2D"/>
    <w:rsid w:val="00545906"/>
    <w:rsid w:val="005522F1"/>
    <w:rsid w:val="005A3CCD"/>
    <w:rsid w:val="005A6C55"/>
    <w:rsid w:val="005F20CD"/>
    <w:rsid w:val="0061651B"/>
    <w:rsid w:val="00641986"/>
    <w:rsid w:val="00641E65"/>
    <w:rsid w:val="006750C2"/>
    <w:rsid w:val="0069703B"/>
    <w:rsid w:val="00697412"/>
    <w:rsid w:val="006B2D98"/>
    <w:rsid w:val="006B4718"/>
    <w:rsid w:val="006C399D"/>
    <w:rsid w:val="006D03D3"/>
    <w:rsid w:val="006D213B"/>
    <w:rsid w:val="006D4EB2"/>
    <w:rsid w:val="006E3737"/>
    <w:rsid w:val="00742A6E"/>
    <w:rsid w:val="00751ADF"/>
    <w:rsid w:val="00751E5F"/>
    <w:rsid w:val="007850F1"/>
    <w:rsid w:val="00792FFC"/>
    <w:rsid w:val="00794E9D"/>
    <w:rsid w:val="007A3B0E"/>
    <w:rsid w:val="007A7CC1"/>
    <w:rsid w:val="007C0860"/>
    <w:rsid w:val="007D1B25"/>
    <w:rsid w:val="007F185C"/>
    <w:rsid w:val="007F2902"/>
    <w:rsid w:val="00805CBB"/>
    <w:rsid w:val="00826C6E"/>
    <w:rsid w:val="0082708A"/>
    <w:rsid w:val="0083350D"/>
    <w:rsid w:val="00836900"/>
    <w:rsid w:val="008448C0"/>
    <w:rsid w:val="00851938"/>
    <w:rsid w:val="008834D1"/>
    <w:rsid w:val="00890527"/>
    <w:rsid w:val="0089409F"/>
    <w:rsid w:val="00895072"/>
    <w:rsid w:val="008D14FA"/>
    <w:rsid w:val="00906476"/>
    <w:rsid w:val="00907D3F"/>
    <w:rsid w:val="00910E00"/>
    <w:rsid w:val="00913BCD"/>
    <w:rsid w:val="009247B6"/>
    <w:rsid w:val="009536CA"/>
    <w:rsid w:val="00955CF7"/>
    <w:rsid w:val="009824FF"/>
    <w:rsid w:val="00984F8E"/>
    <w:rsid w:val="009D3903"/>
    <w:rsid w:val="009E5786"/>
    <w:rsid w:val="009E66F7"/>
    <w:rsid w:val="009F4CB2"/>
    <w:rsid w:val="00A132E8"/>
    <w:rsid w:val="00A21B77"/>
    <w:rsid w:val="00A238A1"/>
    <w:rsid w:val="00A37080"/>
    <w:rsid w:val="00A429BA"/>
    <w:rsid w:val="00A53ED0"/>
    <w:rsid w:val="00A752D6"/>
    <w:rsid w:val="00AD44C9"/>
    <w:rsid w:val="00AE7E12"/>
    <w:rsid w:val="00AF55A0"/>
    <w:rsid w:val="00B12811"/>
    <w:rsid w:val="00B15F44"/>
    <w:rsid w:val="00B16819"/>
    <w:rsid w:val="00B375C4"/>
    <w:rsid w:val="00B523E0"/>
    <w:rsid w:val="00B77606"/>
    <w:rsid w:val="00B92DEC"/>
    <w:rsid w:val="00B96A2E"/>
    <w:rsid w:val="00BA74C7"/>
    <w:rsid w:val="00BD3112"/>
    <w:rsid w:val="00C04128"/>
    <w:rsid w:val="00C27AF1"/>
    <w:rsid w:val="00C301AB"/>
    <w:rsid w:val="00C43601"/>
    <w:rsid w:val="00C539BF"/>
    <w:rsid w:val="00C54FB3"/>
    <w:rsid w:val="00C571E4"/>
    <w:rsid w:val="00C57D38"/>
    <w:rsid w:val="00C73BFF"/>
    <w:rsid w:val="00C741B1"/>
    <w:rsid w:val="00C756A4"/>
    <w:rsid w:val="00C84FE0"/>
    <w:rsid w:val="00CA6FA1"/>
    <w:rsid w:val="00CE0F0E"/>
    <w:rsid w:val="00D10274"/>
    <w:rsid w:val="00D165FA"/>
    <w:rsid w:val="00D31EF4"/>
    <w:rsid w:val="00D72488"/>
    <w:rsid w:val="00D737B7"/>
    <w:rsid w:val="00D90671"/>
    <w:rsid w:val="00DA4EC0"/>
    <w:rsid w:val="00DD20C4"/>
    <w:rsid w:val="00DD68C0"/>
    <w:rsid w:val="00DE2785"/>
    <w:rsid w:val="00E54407"/>
    <w:rsid w:val="00E74CF0"/>
    <w:rsid w:val="00E76EBE"/>
    <w:rsid w:val="00E8380A"/>
    <w:rsid w:val="00EB000F"/>
    <w:rsid w:val="00EB5A77"/>
    <w:rsid w:val="00EB64E3"/>
    <w:rsid w:val="00EC52A2"/>
    <w:rsid w:val="00F002FA"/>
    <w:rsid w:val="00F01C6D"/>
    <w:rsid w:val="00F3777C"/>
    <w:rsid w:val="00F43929"/>
    <w:rsid w:val="00F60A2B"/>
    <w:rsid w:val="00F613F0"/>
    <w:rsid w:val="00F668B5"/>
    <w:rsid w:val="00FC7246"/>
    <w:rsid w:val="00FD72A1"/>
    <w:rsid w:val="00FE7891"/>
    <w:rsid w:val="00FF2368"/>
    <w:rsid w:val="00FF53B8"/>
    <w:rsid w:val="6FD172F3"/>
    <w:rsid w:val="EFBCE240"/>
    <w:rsid w:val="FBBCF6F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kern w:val="2"/>
      <w:sz w:val="28"/>
      <w:szCs w:val="28"/>
      <w:lang w:val="en-US" w:eastAsia="zh-CN" w:bidi="ar-SA"/>
    </w:rPr>
  </w:style>
  <w:style w:type="paragraph" w:styleId="2">
    <w:name w:val="heading 1"/>
    <w:basedOn w:val="1"/>
    <w:next w:val="1"/>
    <w:link w:val="22"/>
    <w:qFormat/>
    <w:uiPriority w:val="9"/>
    <w:pPr>
      <w:keepNext/>
      <w:keepLines/>
      <w:spacing w:before="340" w:after="330" w:line="578" w:lineRule="auto"/>
      <w:outlineLvl w:val="0"/>
    </w:pPr>
    <w:rPr>
      <w:rFonts w:ascii="Times New Roman" w:eastAsia="宋体"/>
      <w:b/>
      <w:bCs/>
      <w:kern w:val="44"/>
      <w:sz w:val="44"/>
      <w:szCs w:val="44"/>
    </w:rPr>
  </w:style>
  <w:style w:type="paragraph" w:styleId="3">
    <w:name w:val="heading 2"/>
    <w:basedOn w:val="1"/>
    <w:next w:val="1"/>
    <w:link w:val="23"/>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3">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4">
    <w:name w:val="Body Text Indent"/>
    <w:basedOn w:val="1"/>
    <w:link w:val="17"/>
    <w:uiPriority w:val="0"/>
    <w:pPr>
      <w:spacing w:after="120"/>
      <w:ind w:left="420" w:leftChars="200"/>
    </w:pPr>
  </w:style>
  <w:style w:type="paragraph" w:styleId="5">
    <w:name w:val="Body Text Indent 2"/>
    <w:basedOn w:val="1"/>
    <w:link w:val="16"/>
    <w:qFormat/>
    <w:uiPriority w:val="0"/>
    <w:pPr>
      <w:ind w:firstLine="630"/>
    </w:pPr>
    <w:rPr>
      <w:sz w:val="32"/>
    </w:rPr>
  </w:style>
  <w:style w:type="paragraph" w:styleId="6">
    <w:name w:val="Balloon Text"/>
    <w:basedOn w:val="1"/>
    <w:link w:val="21"/>
    <w:unhideWhenUsed/>
    <w:qFormat/>
    <w:uiPriority w:val="99"/>
    <w:rPr>
      <w:sz w:val="18"/>
      <w:szCs w:val="18"/>
    </w:rPr>
  </w:style>
  <w:style w:type="paragraph" w:styleId="7">
    <w:name w:val="footer"/>
    <w:basedOn w:val="1"/>
    <w:link w:val="19"/>
    <w:unhideWhenUsed/>
    <w:qFormat/>
    <w:uiPriority w:val="99"/>
    <w:pPr>
      <w:tabs>
        <w:tab w:val="center" w:pos="4153"/>
        <w:tab w:val="right" w:pos="8306"/>
      </w:tabs>
      <w:snapToGrid w:val="0"/>
      <w:jc w:val="left"/>
    </w:pPr>
    <w:rPr>
      <w:sz w:val="18"/>
      <w:szCs w:val="18"/>
    </w:rPr>
  </w:style>
  <w:style w:type="paragraph" w:styleId="8">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pPr>
      <w:spacing w:before="120" w:after="120"/>
      <w:jc w:val="left"/>
    </w:pPr>
    <w:rPr>
      <w:rFonts w:eastAsia="宋体" w:asciiTheme="minorHAnsi" w:hAnsiTheme="minorHAnsi"/>
      <w:b/>
      <w:bCs/>
      <w:caps/>
      <w:sz w:val="20"/>
      <w:szCs w:val="20"/>
    </w:rPr>
  </w:style>
  <w:style w:type="paragraph" w:styleId="10">
    <w:name w:val="toc 2"/>
    <w:basedOn w:val="1"/>
    <w:next w:val="1"/>
    <w:unhideWhenUsed/>
    <w:qFormat/>
    <w:uiPriority w:val="39"/>
    <w:pPr>
      <w:ind w:left="210"/>
      <w:jc w:val="left"/>
    </w:pPr>
    <w:rPr>
      <w:rFonts w:eastAsia="宋体" w:asciiTheme="minorHAnsi" w:hAnsiTheme="minorHAnsi"/>
      <w:smallCaps/>
      <w:sz w:val="20"/>
      <w:szCs w:val="20"/>
    </w:rPr>
  </w:style>
  <w:style w:type="paragraph" w:styleId="11">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4">
    <w:name w:val="page number"/>
    <w:basedOn w:val="13"/>
    <w:qFormat/>
    <w:uiPriority w:val="0"/>
  </w:style>
  <w:style w:type="character" w:styleId="15">
    <w:name w:val="Hyperlink"/>
    <w:basedOn w:val="13"/>
    <w:unhideWhenUsed/>
    <w:qFormat/>
    <w:uiPriority w:val="99"/>
    <w:rPr>
      <w:color w:val="0000FF" w:themeColor="hyperlink"/>
      <w:u w:val="single"/>
      <w14:textFill>
        <w14:solidFill>
          <w14:schemeClr w14:val="hlink"/>
        </w14:solidFill>
      </w14:textFill>
    </w:rPr>
  </w:style>
  <w:style w:type="character" w:customStyle="1" w:styleId="16">
    <w:name w:val="正文文本缩进 2 字符"/>
    <w:basedOn w:val="13"/>
    <w:link w:val="5"/>
    <w:qFormat/>
    <w:uiPriority w:val="0"/>
    <w:rPr>
      <w:rFonts w:ascii="仿宋_GB2312" w:hAnsi="Times New Roman" w:eastAsia="仿宋_GB2312" w:cs="Times New Roman"/>
      <w:sz w:val="32"/>
      <w:szCs w:val="28"/>
    </w:rPr>
  </w:style>
  <w:style w:type="character" w:customStyle="1" w:styleId="17">
    <w:name w:val="正文文本缩进 字符"/>
    <w:basedOn w:val="13"/>
    <w:link w:val="4"/>
    <w:qFormat/>
    <w:uiPriority w:val="0"/>
    <w:rPr>
      <w:rFonts w:ascii="仿宋_GB2312" w:hAnsi="Times New Roman" w:eastAsia="仿宋_GB2312" w:cs="Times New Roman"/>
      <w:sz w:val="28"/>
      <w:szCs w:val="28"/>
    </w:rPr>
  </w:style>
  <w:style w:type="character" w:customStyle="1" w:styleId="18">
    <w:name w:val="页眉 字符"/>
    <w:basedOn w:val="13"/>
    <w:link w:val="8"/>
    <w:qFormat/>
    <w:uiPriority w:val="99"/>
    <w:rPr>
      <w:rFonts w:ascii="仿宋_GB2312" w:hAnsi="Times New Roman" w:eastAsia="仿宋_GB2312" w:cs="Times New Roman"/>
      <w:sz w:val="18"/>
      <w:szCs w:val="18"/>
    </w:rPr>
  </w:style>
  <w:style w:type="character" w:customStyle="1" w:styleId="19">
    <w:name w:val="页脚 字符"/>
    <w:basedOn w:val="13"/>
    <w:link w:val="7"/>
    <w:qFormat/>
    <w:uiPriority w:val="99"/>
    <w:rPr>
      <w:rFonts w:ascii="仿宋_GB2312" w:hAnsi="Times New Roman" w:eastAsia="仿宋_GB2312" w:cs="Times New Roman"/>
      <w:sz w:val="18"/>
      <w:szCs w:val="18"/>
    </w:rPr>
  </w:style>
  <w:style w:type="paragraph" w:customStyle="1" w:styleId="20">
    <w:name w:val="List Paragraph"/>
    <w:basedOn w:val="1"/>
    <w:qFormat/>
    <w:uiPriority w:val="34"/>
    <w:pPr>
      <w:ind w:firstLine="420" w:firstLineChars="200"/>
    </w:pPr>
  </w:style>
  <w:style w:type="character" w:customStyle="1" w:styleId="21">
    <w:name w:val="批注框文本 字符"/>
    <w:basedOn w:val="13"/>
    <w:link w:val="6"/>
    <w:semiHidden/>
    <w:qFormat/>
    <w:uiPriority w:val="99"/>
    <w:rPr>
      <w:rFonts w:ascii="仿宋_GB2312" w:hAnsi="Times New Roman" w:eastAsia="仿宋_GB2312" w:cs="Times New Roman"/>
      <w:sz w:val="18"/>
      <w:szCs w:val="18"/>
    </w:rPr>
  </w:style>
  <w:style w:type="character" w:customStyle="1" w:styleId="22">
    <w:name w:val="标题 1 字符"/>
    <w:basedOn w:val="13"/>
    <w:link w:val="2"/>
    <w:qFormat/>
    <w:uiPriority w:val="9"/>
    <w:rPr>
      <w:rFonts w:ascii="Times New Roman" w:hAnsi="Times New Roman" w:eastAsia="宋体" w:cs="Times New Roman"/>
      <w:b/>
      <w:bCs/>
      <w:kern w:val="44"/>
      <w:sz w:val="44"/>
      <w:szCs w:val="44"/>
    </w:rPr>
  </w:style>
  <w:style w:type="character" w:customStyle="1" w:styleId="23">
    <w:name w:val="标题 2 字符"/>
    <w:basedOn w:val="13"/>
    <w:link w:val="3"/>
    <w:qFormat/>
    <w:uiPriority w:val="9"/>
    <w:rPr>
      <w:rFonts w:asciiTheme="majorHAnsi" w:hAnsiTheme="majorHAnsi" w:eastAsiaTheme="majorEastAsia" w:cstheme="majorBidi"/>
      <w:b/>
      <w:bCs/>
      <w:sz w:val="32"/>
      <w:szCs w:val="32"/>
    </w:rPr>
  </w:style>
  <w:style w:type="paragraph" w:customStyle="1" w:styleId="24">
    <w:name w:val="Default"/>
    <w:qFormat/>
    <w:uiPriority w:val="0"/>
    <w:pPr>
      <w:widowControl w:val="0"/>
      <w:autoSpaceDE w:val="0"/>
      <w:autoSpaceDN w:val="0"/>
      <w:adjustRightInd w:val="0"/>
    </w:pPr>
    <w:rPr>
      <w:rFonts w:ascii="仿宋_GB2312" w:hAnsi="仿宋_GB2312" w:cs="仿宋_GB2312" w:eastAsiaTheme="minorEastAsia"/>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1</Pages>
  <Words>500</Words>
  <Characters>500</Characters>
  <Lines>10</Lines>
  <Paragraphs>2</Paragraphs>
  <TotalTime>0</TotalTime>
  <ScaleCrop>false</ScaleCrop>
  <LinksUpToDate>false</LinksUpToDate>
  <CharactersWithSpaces>504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2018-08-13T21:29:00Z</dcterms:created>
  <dc:creator>admin</dc:creator>
  <cp:lastModifiedBy>Ben</cp:lastModifiedBy>
  <cp:lastPrinted>2018-06-20T17:28:00Z</cp:lastPrinted>
  <dcterms:modified xsi:type="dcterms:W3CDTF">2026-01-13T09:01:07Z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A1EC1FA1CEED4E849265FCFE82728E56_13</vt:lpwstr>
  </property>
</Properties>
</file>