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5723F2">
      <w:pPr>
        <w:jc w:val="center"/>
        <w:rPr>
          <w:rFonts w:ascii="Times New Roman" w:hAnsi="Times New Roman" w:cs="Times New Roman"/>
          <w:b/>
          <w:snapToGrid w:val="0"/>
          <w:sz w:val="24"/>
          <w:szCs w:val="24"/>
        </w:rPr>
      </w:pPr>
      <w:bookmarkStart w:id="0" w:name="_GoBack"/>
      <w:bookmarkEnd w:id="0"/>
      <w:r>
        <w:rPr>
          <w:rFonts w:hint="eastAsia" w:ascii="黑体" w:hAnsi="黑体" w:eastAsia="黑体" w:cs="黑体"/>
          <w:b/>
          <w:bCs/>
          <w:sz w:val="32"/>
          <w:szCs w:val="36"/>
        </w:rPr>
        <w:t>东方大地保险经纪有限公司案件防控管理规定</w:t>
      </w:r>
    </w:p>
    <w:p w14:paraId="25E64ED4">
      <w:pPr>
        <w:pStyle w:val="3"/>
        <w:spacing w:line="520" w:lineRule="exact"/>
        <w:ind w:left="0" w:firstLine="0"/>
        <w:rPr>
          <w:rFonts w:ascii="Times New Roman" w:hAnsi="Times New Roman" w:eastAsia="黑体" w:cs="Times New Roman"/>
          <w:snapToGrid w:val="0"/>
          <w:sz w:val="24"/>
          <w:szCs w:val="24"/>
        </w:rPr>
      </w:pPr>
      <w:r>
        <w:rPr>
          <w:rFonts w:ascii="Times New Roman" w:hAnsi="Times New Roman" w:cs="Times New Roman"/>
          <w:b/>
          <w:snapToGrid w:val="0"/>
          <w:sz w:val="24"/>
          <w:szCs w:val="24"/>
        </w:rPr>
        <w:t xml:space="preserve">1  </w:t>
      </w:r>
      <w:r>
        <w:rPr>
          <w:rFonts w:ascii="Times New Roman" w:hAnsi="Times New Roman" w:eastAsia="黑体" w:cs="Times New Roman"/>
          <w:snapToGrid w:val="0"/>
          <w:sz w:val="24"/>
          <w:szCs w:val="24"/>
        </w:rPr>
        <w:t>目的</w:t>
      </w:r>
    </w:p>
    <w:p w14:paraId="10AFD0F0">
      <w:pPr>
        <w:spacing w:line="520" w:lineRule="exact"/>
        <w:jc w:val="left"/>
        <w:rPr>
          <w:snapToGrid w:val="0"/>
          <w:kern w:val="0"/>
          <w:sz w:val="24"/>
        </w:rPr>
      </w:pPr>
      <w:r>
        <w:rPr>
          <w:rFonts w:hAnsi="宋体"/>
          <w:snapToGrid w:val="0"/>
          <w:kern w:val="0"/>
          <w:sz w:val="24"/>
        </w:rPr>
        <w:t>为加强</w:t>
      </w:r>
      <w:r>
        <w:rPr>
          <w:rFonts w:hint="eastAsia" w:hAnsi="宋体"/>
          <w:snapToGrid w:val="0"/>
          <w:kern w:val="0"/>
          <w:sz w:val="24"/>
          <w:lang w:eastAsia="zh-CN"/>
        </w:rPr>
        <w:t>东方大地（武汉）保险经纪有限公司</w:t>
      </w:r>
      <w:r>
        <w:rPr>
          <w:rFonts w:hAnsi="宋体"/>
          <w:snapToGrid w:val="0"/>
          <w:kern w:val="0"/>
          <w:sz w:val="24"/>
        </w:rPr>
        <w:t>（以下简称</w:t>
      </w:r>
      <w:r>
        <w:rPr>
          <w:rFonts w:hint="eastAsia"/>
          <w:snapToGrid w:val="0"/>
          <w:kern w:val="0"/>
          <w:sz w:val="24"/>
        </w:rPr>
        <w:t>“</w:t>
      </w:r>
      <w:r>
        <w:rPr>
          <w:rFonts w:hint="eastAsia" w:hAnsi="宋体"/>
          <w:snapToGrid w:val="0"/>
          <w:kern w:val="0"/>
          <w:sz w:val="24"/>
          <w:lang w:eastAsia="zh-CN"/>
        </w:rPr>
        <w:t>本公司</w:t>
      </w:r>
      <w:r>
        <w:rPr>
          <w:rFonts w:hint="eastAsia"/>
          <w:snapToGrid w:val="0"/>
          <w:kern w:val="0"/>
          <w:sz w:val="24"/>
        </w:rPr>
        <w:t>”</w:t>
      </w:r>
      <w:r>
        <w:rPr>
          <w:rFonts w:hAnsi="宋体"/>
          <w:snapToGrid w:val="0"/>
          <w:kern w:val="0"/>
          <w:sz w:val="24"/>
        </w:rPr>
        <w:t>）案件防控工作管理，有效防范案件发生，确保各项业务稳健运行，根据国家有关法律法规和</w:t>
      </w:r>
      <w:r>
        <w:rPr>
          <w:rFonts w:hint="eastAsia" w:hAnsi="宋体"/>
          <w:snapToGrid w:val="0"/>
          <w:kern w:val="0"/>
          <w:sz w:val="24"/>
        </w:rPr>
        <w:t>管理</w:t>
      </w:r>
      <w:r>
        <w:rPr>
          <w:rFonts w:hAnsi="宋体"/>
          <w:snapToGrid w:val="0"/>
          <w:kern w:val="0"/>
          <w:sz w:val="24"/>
        </w:rPr>
        <w:t>要求，结合</w:t>
      </w:r>
      <w:r>
        <w:rPr>
          <w:rFonts w:hint="eastAsia" w:hAnsi="宋体"/>
          <w:snapToGrid w:val="0"/>
          <w:kern w:val="0"/>
          <w:sz w:val="24"/>
          <w:lang w:eastAsia="zh-CN"/>
        </w:rPr>
        <w:t>本公司</w:t>
      </w:r>
      <w:r>
        <w:rPr>
          <w:rFonts w:hAnsi="宋体"/>
          <w:snapToGrid w:val="0"/>
          <w:kern w:val="0"/>
          <w:sz w:val="24"/>
        </w:rPr>
        <w:t>实际，特制定本规定。</w:t>
      </w:r>
    </w:p>
    <w:p w14:paraId="0326205F">
      <w:pPr>
        <w:pStyle w:val="3"/>
        <w:spacing w:line="520" w:lineRule="exact"/>
        <w:ind w:left="0" w:firstLine="0"/>
        <w:rPr>
          <w:rFonts w:ascii="Times New Roman" w:hAnsi="Times New Roman" w:eastAsia="黑体" w:cs="Times New Roman"/>
          <w:snapToGrid w:val="0"/>
          <w:sz w:val="24"/>
          <w:szCs w:val="24"/>
        </w:rPr>
      </w:pPr>
      <w:r>
        <w:rPr>
          <w:rFonts w:ascii="Times New Roman" w:hAnsi="Times New Roman" w:cs="Times New Roman"/>
          <w:b/>
          <w:snapToGrid w:val="0"/>
          <w:sz w:val="24"/>
          <w:szCs w:val="24"/>
        </w:rPr>
        <w:t xml:space="preserve">2  </w:t>
      </w:r>
      <w:r>
        <w:rPr>
          <w:rFonts w:ascii="Times New Roman" w:hAnsi="Times New Roman" w:eastAsia="黑体" w:cs="Times New Roman"/>
          <w:snapToGrid w:val="0"/>
          <w:sz w:val="24"/>
          <w:szCs w:val="24"/>
        </w:rPr>
        <w:t>范围</w:t>
      </w:r>
    </w:p>
    <w:p w14:paraId="4F8FF5F6">
      <w:pPr>
        <w:widowControl/>
        <w:spacing w:line="520" w:lineRule="exact"/>
        <w:jc w:val="left"/>
        <w:rPr>
          <w:snapToGrid w:val="0"/>
          <w:kern w:val="0"/>
          <w:sz w:val="24"/>
        </w:rPr>
      </w:pPr>
      <w:r>
        <w:rPr>
          <w:snapToGrid w:val="0"/>
          <w:kern w:val="0"/>
          <w:sz w:val="24"/>
        </w:rPr>
        <w:t xml:space="preserve">2.1  </w:t>
      </w:r>
      <w:r>
        <w:rPr>
          <w:rFonts w:hAnsi="宋体"/>
          <w:snapToGrid w:val="0"/>
          <w:kern w:val="0"/>
          <w:sz w:val="24"/>
        </w:rPr>
        <w:t>本规定明确了</w:t>
      </w:r>
      <w:r>
        <w:rPr>
          <w:rFonts w:hint="eastAsia" w:hAnsi="宋体"/>
          <w:snapToGrid w:val="0"/>
          <w:kern w:val="0"/>
          <w:sz w:val="24"/>
          <w:lang w:eastAsia="zh-CN"/>
        </w:rPr>
        <w:t>本公司</w:t>
      </w:r>
      <w:r>
        <w:rPr>
          <w:rFonts w:hAnsi="宋体"/>
          <w:snapToGrid w:val="0"/>
          <w:kern w:val="0"/>
          <w:sz w:val="24"/>
        </w:rPr>
        <w:t>案件防控的基本内容与要求</w:t>
      </w:r>
    </w:p>
    <w:p w14:paraId="5AFB9667">
      <w:pPr>
        <w:widowControl/>
        <w:spacing w:line="520" w:lineRule="exact"/>
        <w:jc w:val="left"/>
        <w:rPr>
          <w:snapToGrid w:val="0"/>
          <w:kern w:val="0"/>
          <w:sz w:val="24"/>
        </w:rPr>
      </w:pPr>
      <w:r>
        <w:rPr>
          <w:snapToGrid w:val="0"/>
          <w:kern w:val="0"/>
          <w:sz w:val="24"/>
        </w:rPr>
        <w:t xml:space="preserve">2.2  </w:t>
      </w:r>
      <w:r>
        <w:rPr>
          <w:rFonts w:hAnsi="宋体"/>
          <w:snapToGrid w:val="0"/>
          <w:kern w:val="0"/>
          <w:sz w:val="24"/>
        </w:rPr>
        <w:t>本规定适用于</w:t>
      </w:r>
      <w:r>
        <w:rPr>
          <w:rFonts w:hint="eastAsia" w:hAnsi="宋体"/>
          <w:snapToGrid w:val="0"/>
          <w:kern w:val="0"/>
          <w:sz w:val="24"/>
          <w:lang w:eastAsia="zh-CN"/>
        </w:rPr>
        <w:t>总公司</w:t>
      </w:r>
      <w:r>
        <w:rPr>
          <w:rFonts w:hAnsi="宋体"/>
          <w:snapToGrid w:val="0"/>
          <w:kern w:val="0"/>
          <w:sz w:val="24"/>
        </w:rPr>
        <w:t>和各分支机构、各业务部门案件防范控制工作的管理。</w:t>
      </w:r>
    </w:p>
    <w:p w14:paraId="1410CD10">
      <w:pPr>
        <w:pStyle w:val="3"/>
        <w:spacing w:line="520" w:lineRule="exact"/>
        <w:ind w:left="0" w:firstLine="0"/>
        <w:rPr>
          <w:rFonts w:ascii="Times New Roman" w:hAnsi="Times New Roman" w:eastAsia="黑体" w:cs="Times New Roman"/>
          <w:snapToGrid w:val="0"/>
          <w:sz w:val="24"/>
          <w:szCs w:val="24"/>
        </w:rPr>
      </w:pPr>
      <w:r>
        <w:rPr>
          <w:rFonts w:ascii="Times New Roman" w:hAnsi="Times New Roman" w:cs="Times New Roman"/>
          <w:b/>
          <w:snapToGrid w:val="0"/>
          <w:sz w:val="24"/>
          <w:szCs w:val="24"/>
        </w:rPr>
        <w:t xml:space="preserve">3  </w:t>
      </w:r>
      <w:r>
        <w:rPr>
          <w:rFonts w:ascii="Times New Roman" w:hAnsi="Times New Roman" w:eastAsia="黑体" w:cs="Times New Roman"/>
          <w:snapToGrid w:val="0"/>
          <w:sz w:val="24"/>
          <w:szCs w:val="24"/>
        </w:rPr>
        <w:t>术语与定义</w:t>
      </w:r>
    </w:p>
    <w:p w14:paraId="50493255">
      <w:pPr>
        <w:adjustRightInd w:val="0"/>
        <w:snapToGrid w:val="0"/>
        <w:spacing w:line="520" w:lineRule="exact"/>
        <w:jc w:val="left"/>
        <w:rPr>
          <w:rFonts w:hint="eastAsia" w:ascii="宋体" w:hAnsi="宋体"/>
          <w:sz w:val="24"/>
        </w:rPr>
      </w:pPr>
      <w:r>
        <w:rPr>
          <w:snapToGrid w:val="0"/>
          <w:kern w:val="0"/>
          <w:sz w:val="24"/>
        </w:rPr>
        <w:t xml:space="preserve">3.1  </w:t>
      </w:r>
      <w:r>
        <w:rPr>
          <w:rFonts w:hAnsi="宋体"/>
          <w:snapToGrid w:val="0"/>
          <w:kern w:val="0"/>
          <w:sz w:val="24"/>
        </w:rPr>
        <w:t>本规定所指案件</w:t>
      </w:r>
      <w:r>
        <w:rPr>
          <w:rFonts w:hint="eastAsia" w:ascii="宋体" w:hAnsi="宋体"/>
          <w:sz w:val="24"/>
        </w:rPr>
        <w:t>是指</w:t>
      </w:r>
      <w:r>
        <w:rPr>
          <w:rFonts w:hint="eastAsia" w:ascii="宋体" w:hAnsi="宋体"/>
          <w:sz w:val="24"/>
          <w:lang w:eastAsia="zh-CN"/>
        </w:rPr>
        <w:t>本公司</w:t>
      </w:r>
      <w:r>
        <w:rPr>
          <w:rFonts w:hint="eastAsia" w:ascii="宋体" w:hAnsi="宋体"/>
          <w:sz w:val="24"/>
        </w:rPr>
        <w:t>从业人员独立或共同实施，或与外部人员合伙实施的，以</w:t>
      </w:r>
      <w:r>
        <w:rPr>
          <w:rFonts w:hint="eastAsia" w:ascii="宋体" w:hAnsi="宋体"/>
          <w:sz w:val="24"/>
          <w:lang w:eastAsia="zh-CN"/>
        </w:rPr>
        <w:t>本公司</w:t>
      </w:r>
      <w:r>
        <w:rPr>
          <w:rFonts w:hint="eastAsia" w:ascii="宋体" w:hAnsi="宋体"/>
          <w:sz w:val="24"/>
        </w:rPr>
        <w:t>或客户的资金、财产为侵害对象的，涉嫌触犯刑法，依法应当移送司法机构追究刑事责任或已由公安、司法机关依法立案侦查的事件或</w:t>
      </w:r>
      <w:r>
        <w:rPr>
          <w:rFonts w:hint="eastAsia" w:ascii="宋体" w:hAnsi="宋体"/>
          <w:sz w:val="24"/>
          <w:lang w:eastAsia="zh-CN"/>
        </w:rPr>
        <w:t>本公司</w:t>
      </w:r>
      <w:r>
        <w:rPr>
          <w:rFonts w:hint="eastAsia" w:ascii="宋体" w:hAnsi="宋体"/>
          <w:sz w:val="24"/>
        </w:rPr>
        <w:t>遭受外部诈骗、盗窃、抢劫的侵害，依法应当由公安机关立案侦查的事件。</w:t>
      </w:r>
    </w:p>
    <w:p w14:paraId="19C8CA3E">
      <w:pPr>
        <w:widowControl/>
        <w:spacing w:line="520" w:lineRule="exact"/>
        <w:jc w:val="left"/>
        <w:rPr>
          <w:snapToGrid w:val="0"/>
          <w:kern w:val="0"/>
          <w:sz w:val="24"/>
        </w:rPr>
      </w:pPr>
      <w:r>
        <w:rPr>
          <w:bCs/>
          <w:snapToGrid w:val="0"/>
          <w:kern w:val="0"/>
          <w:sz w:val="24"/>
        </w:rPr>
        <w:t>3.2</w:t>
      </w:r>
      <w:r>
        <w:rPr>
          <w:snapToGrid w:val="0"/>
          <w:kern w:val="0"/>
          <w:sz w:val="24"/>
        </w:rPr>
        <w:t xml:space="preserve">  </w:t>
      </w:r>
      <w:r>
        <w:rPr>
          <w:rFonts w:hAnsi="宋体"/>
          <w:snapToGrid w:val="0"/>
          <w:kern w:val="0"/>
          <w:sz w:val="24"/>
        </w:rPr>
        <w:t>本规定所指责任，是指各级机构负责人和部门负责人对任职期间的案件防范工作应承担的责任。</w:t>
      </w:r>
    </w:p>
    <w:p w14:paraId="3ABABD8B">
      <w:pPr>
        <w:spacing w:line="520" w:lineRule="exact"/>
        <w:jc w:val="left"/>
        <w:rPr>
          <w:rFonts w:hint="eastAsia"/>
          <w:snapToGrid w:val="0"/>
          <w:kern w:val="0"/>
          <w:sz w:val="24"/>
        </w:rPr>
      </w:pPr>
      <w:r>
        <w:rPr>
          <w:bCs/>
          <w:snapToGrid w:val="0"/>
          <w:kern w:val="0"/>
          <w:sz w:val="24"/>
        </w:rPr>
        <w:t>3.3</w:t>
      </w:r>
      <w:r>
        <w:rPr>
          <w:snapToGrid w:val="0"/>
          <w:kern w:val="0"/>
          <w:sz w:val="24"/>
        </w:rPr>
        <w:t xml:space="preserve">  </w:t>
      </w:r>
      <w:r>
        <w:rPr>
          <w:rFonts w:hAnsi="宋体"/>
          <w:snapToGrid w:val="0"/>
          <w:kern w:val="0"/>
          <w:sz w:val="24"/>
        </w:rPr>
        <w:t>本规定所指各</w:t>
      </w:r>
      <w:r>
        <w:rPr>
          <w:rFonts w:hint="eastAsia" w:hAnsi="宋体"/>
          <w:snapToGrid w:val="0"/>
          <w:kern w:val="0"/>
          <w:sz w:val="24"/>
        </w:rPr>
        <w:t>级</w:t>
      </w:r>
      <w:r>
        <w:rPr>
          <w:rFonts w:hAnsi="宋体"/>
          <w:snapToGrid w:val="0"/>
          <w:kern w:val="0"/>
          <w:sz w:val="24"/>
        </w:rPr>
        <w:t>机构负责人，是指</w:t>
      </w:r>
      <w:r>
        <w:rPr>
          <w:rFonts w:hint="eastAsia" w:hAnsi="宋体"/>
          <w:snapToGrid w:val="0"/>
          <w:kern w:val="0"/>
          <w:sz w:val="24"/>
          <w:lang w:eastAsia="zh-CN"/>
        </w:rPr>
        <w:t>总公司</w:t>
      </w:r>
      <w:r>
        <w:rPr>
          <w:rFonts w:hAnsi="宋体"/>
          <w:snapToGrid w:val="0"/>
          <w:kern w:val="0"/>
          <w:sz w:val="24"/>
        </w:rPr>
        <w:t>、分支</w:t>
      </w:r>
      <w:r>
        <w:rPr>
          <w:rFonts w:hint="eastAsia" w:hAnsi="宋体"/>
          <w:snapToGrid w:val="0"/>
          <w:kern w:val="0"/>
          <w:sz w:val="24"/>
          <w:lang w:val="en-US" w:eastAsia="zh-CN"/>
        </w:rPr>
        <w:t>机构</w:t>
      </w:r>
      <w:r>
        <w:rPr>
          <w:rFonts w:hAnsi="宋体"/>
          <w:snapToGrid w:val="0"/>
          <w:kern w:val="0"/>
          <w:sz w:val="24"/>
        </w:rPr>
        <w:t>、营业网点及上述机构的直（附）属机构正副职管理人员；所指部门负责人，是指</w:t>
      </w:r>
      <w:r>
        <w:rPr>
          <w:rFonts w:hint="eastAsia" w:hAnsi="宋体"/>
          <w:snapToGrid w:val="0"/>
          <w:kern w:val="0"/>
          <w:sz w:val="24"/>
          <w:lang w:eastAsia="zh-CN"/>
        </w:rPr>
        <w:t>总公司</w:t>
      </w:r>
      <w:r>
        <w:rPr>
          <w:rFonts w:hAnsi="宋体"/>
          <w:snapToGrid w:val="0"/>
          <w:kern w:val="0"/>
          <w:sz w:val="24"/>
        </w:rPr>
        <w:t>、</w:t>
      </w:r>
      <w:r>
        <w:rPr>
          <w:rFonts w:hint="eastAsia" w:hAnsi="宋体"/>
          <w:snapToGrid w:val="0"/>
          <w:kern w:val="0"/>
          <w:sz w:val="24"/>
          <w:lang w:val="en-US" w:eastAsia="zh-CN"/>
        </w:rPr>
        <w:t>分支机构</w:t>
      </w:r>
      <w:r>
        <w:rPr>
          <w:rFonts w:hAnsi="宋体"/>
          <w:snapToGrid w:val="0"/>
          <w:kern w:val="0"/>
          <w:sz w:val="24"/>
        </w:rPr>
        <w:t>及上述机构直属机构的内设部门正副职管理人员。</w:t>
      </w:r>
    </w:p>
    <w:p w14:paraId="6B2EC3CA">
      <w:pPr>
        <w:pStyle w:val="3"/>
        <w:spacing w:line="520" w:lineRule="exact"/>
        <w:ind w:left="0" w:firstLine="0"/>
        <w:rPr>
          <w:rFonts w:hint="eastAsia" w:ascii="Times New Roman" w:hAnsi="Times New Roman" w:eastAsia="黑体" w:cs="Times New Roman"/>
          <w:snapToGrid w:val="0"/>
          <w:sz w:val="24"/>
          <w:szCs w:val="24"/>
        </w:rPr>
      </w:pPr>
      <w:r>
        <w:rPr>
          <w:rFonts w:ascii="Times New Roman" w:hAnsi="Times New Roman" w:cs="Times New Roman"/>
          <w:b/>
          <w:snapToGrid w:val="0"/>
          <w:sz w:val="24"/>
          <w:szCs w:val="24"/>
        </w:rPr>
        <w:t xml:space="preserve">4  </w:t>
      </w:r>
      <w:r>
        <w:rPr>
          <w:rFonts w:ascii="Times New Roman" w:hAnsi="Times New Roman" w:eastAsia="黑体" w:cs="Times New Roman"/>
          <w:snapToGrid w:val="0"/>
          <w:sz w:val="24"/>
          <w:szCs w:val="24"/>
        </w:rPr>
        <w:t>职责与权限</w:t>
      </w:r>
    </w:p>
    <w:p w14:paraId="3902EC5F">
      <w:pPr>
        <w:spacing w:line="520" w:lineRule="exact"/>
        <w:jc w:val="left"/>
        <w:rPr>
          <w:snapToGrid w:val="0"/>
          <w:kern w:val="0"/>
          <w:sz w:val="24"/>
        </w:rPr>
      </w:pPr>
      <w:r>
        <w:rPr>
          <w:rFonts w:hAnsi="宋体"/>
          <w:bCs/>
          <w:snapToGrid w:val="0"/>
          <w:kern w:val="0"/>
          <w:sz w:val="24"/>
        </w:rPr>
        <w:t>按照</w:t>
      </w:r>
      <w:r>
        <w:rPr>
          <w:rFonts w:hint="eastAsia"/>
          <w:snapToGrid w:val="0"/>
          <w:kern w:val="0"/>
          <w:sz w:val="24"/>
        </w:rPr>
        <w:t>“</w:t>
      </w:r>
      <w:r>
        <w:rPr>
          <w:rFonts w:hint="eastAsia" w:hAnsi="宋体"/>
          <w:snapToGrid w:val="0"/>
          <w:kern w:val="0"/>
          <w:sz w:val="24"/>
          <w:lang w:val="en-US" w:eastAsia="zh-CN"/>
        </w:rPr>
        <w:t>总经理</w:t>
      </w:r>
      <w:r>
        <w:rPr>
          <w:rFonts w:hAnsi="宋体"/>
          <w:snapToGrid w:val="0"/>
          <w:kern w:val="0"/>
          <w:sz w:val="24"/>
        </w:rPr>
        <w:t>负总责，分管副职和部门负责人各负其责，案件防控部门组织协调</w:t>
      </w:r>
      <w:r>
        <w:rPr>
          <w:rFonts w:hint="eastAsia"/>
          <w:snapToGrid w:val="0"/>
          <w:kern w:val="0"/>
          <w:sz w:val="24"/>
        </w:rPr>
        <w:t>”</w:t>
      </w:r>
      <w:r>
        <w:rPr>
          <w:rFonts w:hAnsi="宋体"/>
          <w:snapToGrid w:val="0"/>
          <w:kern w:val="0"/>
          <w:sz w:val="24"/>
        </w:rPr>
        <w:t>工作机制，实行科学化、规范化、制度化管理。</w:t>
      </w:r>
    </w:p>
    <w:p w14:paraId="05605401">
      <w:pPr>
        <w:pStyle w:val="3"/>
        <w:spacing w:line="520" w:lineRule="exact"/>
        <w:ind w:left="0" w:firstLine="0"/>
        <w:rPr>
          <w:rFonts w:ascii="Times New Roman" w:hAnsi="Times New Roman" w:eastAsia="黑体" w:cs="Times New Roman"/>
          <w:snapToGrid w:val="0"/>
          <w:sz w:val="24"/>
          <w:szCs w:val="24"/>
        </w:rPr>
      </w:pPr>
      <w:r>
        <w:rPr>
          <w:rFonts w:ascii="Times New Roman" w:hAnsi="Times New Roman" w:cs="Times New Roman"/>
          <w:b/>
          <w:snapToGrid w:val="0"/>
          <w:sz w:val="24"/>
          <w:szCs w:val="24"/>
        </w:rPr>
        <w:t xml:space="preserve">5  </w:t>
      </w:r>
      <w:r>
        <w:rPr>
          <w:rFonts w:ascii="Times New Roman" w:hAnsi="Times New Roman" w:eastAsia="黑体" w:cs="Times New Roman"/>
          <w:snapToGrid w:val="0"/>
          <w:sz w:val="24"/>
          <w:szCs w:val="24"/>
        </w:rPr>
        <w:t>政策</w:t>
      </w:r>
    </w:p>
    <w:p w14:paraId="51887BCF">
      <w:pPr>
        <w:spacing w:line="520" w:lineRule="exact"/>
        <w:jc w:val="left"/>
        <w:rPr>
          <w:rFonts w:hint="eastAsia" w:hAnsi="宋体"/>
          <w:snapToGrid w:val="0"/>
          <w:kern w:val="0"/>
          <w:sz w:val="24"/>
        </w:rPr>
      </w:pPr>
      <w:r>
        <w:rPr>
          <w:rFonts w:hAnsi="宋体"/>
          <w:snapToGrid w:val="0"/>
          <w:kern w:val="0"/>
          <w:sz w:val="24"/>
        </w:rPr>
        <w:t>案件防控工作实行</w:t>
      </w:r>
      <w:r>
        <w:rPr>
          <w:rFonts w:hint="eastAsia"/>
          <w:snapToGrid w:val="0"/>
          <w:kern w:val="0"/>
          <w:sz w:val="24"/>
        </w:rPr>
        <w:t>“查防并重、</w:t>
      </w:r>
      <w:r>
        <w:rPr>
          <w:rFonts w:hAnsi="宋体"/>
          <w:snapToGrid w:val="0"/>
          <w:kern w:val="0"/>
          <w:sz w:val="24"/>
        </w:rPr>
        <w:t>预防为主、</w:t>
      </w:r>
      <w:r>
        <w:rPr>
          <w:rFonts w:hint="eastAsia" w:hAnsi="宋体"/>
          <w:snapToGrid w:val="0"/>
          <w:kern w:val="0"/>
          <w:sz w:val="24"/>
        </w:rPr>
        <w:t>齐抓共管、责任到位、制度管人、惩戒到位、赔罚走人、追究到位、风险排查、整改到位”</w:t>
      </w:r>
      <w:r>
        <w:rPr>
          <w:rFonts w:hAnsi="宋体"/>
          <w:snapToGrid w:val="0"/>
          <w:kern w:val="0"/>
          <w:sz w:val="24"/>
        </w:rPr>
        <w:t>的原则。</w:t>
      </w:r>
    </w:p>
    <w:p w14:paraId="0F5E8F39">
      <w:pPr>
        <w:pStyle w:val="3"/>
        <w:spacing w:line="520" w:lineRule="exact"/>
        <w:ind w:left="0" w:firstLine="0"/>
        <w:rPr>
          <w:rFonts w:ascii="Times New Roman" w:hAnsi="Times New Roman" w:eastAsia="黑体" w:cs="Times New Roman"/>
          <w:snapToGrid w:val="0"/>
          <w:sz w:val="24"/>
          <w:szCs w:val="24"/>
        </w:rPr>
      </w:pPr>
      <w:r>
        <w:rPr>
          <w:rFonts w:hint="eastAsia" w:ascii="Times New Roman" w:hAnsi="Times New Roman" w:cs="Times New Roman"/>
          <w:b/>
          <w:snapToGrid w:val="0"/>
          <w:sz w:val="24"/>
          <w:szCs w:val="24"/>
          <w:lang w:val="en-US" w:eastAsia="zh-CN"/>
        </w:rPr>
        <w:t>6</w:t>
      </w:r>
      <w:r>
        <w:rPr>
          <w:rFonts w:ascii="Times New Roman" w:hAnsi="Times New Roman" w:cs="Times New Roman"/>
          <w:b/>
          <w:snapToGrid w:val="0"/>
          <w:sz w:val="24"/>
          <w:szCs w:val="24"/>
        </w:rPr>
        <w:t xml:space="preserve">  </w:t>
      </w:r>
      <w:r>
        <w:rPr>
          <w:rFonts w:ascii="Times New Roman" w:hAnsi="Times New Roman" w:eastAsia="黑体" w:cs="Times New Roman"/>
          <w:snapToGrid w:val="0"/>
          <w:sz w:val="24"/>
          <w:szCs w:val="24"/>
        </w:rPr>
        <w:t>内容与要求</w:t>
      </w:r>
    </w:p>
    <w:p w14:paraId="48370C22">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  </w:t>
      </w:r>
      <w:r>
        <w:rPr>
          <w:rFonts w:hAnsi="宋体"/>
          <w:snapToGrid w:val="0"/>
          <w:kern w:val="0"/>
          <w:sz w:val="24"/>
        </w:rPr>
        <w:t>案件防控责任制管理</w:t>
      </w:r>
      <w:r>
        <w:rPr>
          <w:snapToGrid w:val="0"/>
          <w:kern w:val="0"/>
          <w:sz w:val="24"/>
        </w:rPr>
        <w:t xml:space="preserve"> </w:t>
      </w:r>
    </w:p>
    <w:p w14:paraId="566176B8">
      <w:pPr>
        <w:spacing w:line="520" w:lineRule="exact"/>
        <w:jc w:val="left"/>
        <w:rPr>
          <w:rFonts w:hAnsi="宋体"/>
          <w:snapToGrid w:val="0"/>
          <w:kern w:val="0"/>
          <w:sz w:val="24"/>
        </w:rPr>
      </w:pPr>
      <w:r>
        <w:rPr>
          <w:rFonts w:hint="eastAsia"/>
          <w:snapToGrid w:val="0"/>
          <w:kern w:val="0"/>
          <w:sz w:val="24"/>
          <w:lang w:val="en-US" w:eastAsia="zh-CN"/>
        </w:rPr>
        <w:t>6</w:t>
      </w:r>
      <w:r>
        <w:rPr>
          <w:snapToGrid w:val="0"/>
          <w:kern w:val="0"/>
          <w:sz w:val="24"/>
        </w:rPr>
        <w:t xml:space="preserve">.1.1  </w:t>
      </w:r>
      <w:r>
        <w:rPr>
          <w:rFonts w:hint="eastAsia" w:hAnsi="宋体"/>
          <w:snapToGrid w:val="0"/>
          <w:kern w:val="0"/>
          <w:sz w:val="24"/>
          <w:lang w:eastAsia="zh-CN"/>
        </w:rPr>
        <w:t>各分支机构负责人</w:t>
      </w:r>
      <w:r>
        <w:rPr>
          <w:rFonts w:hAnsi="宋体"/>
          <w:snapToGrid w:val="0"/>
          <w:kern w:val="0"/>
          <w:sz w:val="24"/>
        </w:rPr>
        <w:t>为本级行案件防控工作第一责任人，对本级行案件防控工作负全面责任。</w:t>
      </w:r>
    </w:p>
    <w:p w14:paraId="62D3041D">
      <w:pPr>
        <w:spacing w:line="520" w:lineRule="exact"/>
        <w:jc w:val="left"/>
        <w:rPr>
          <w:snapToGrid w:val="0"/>
          <w:kern w:val="0"/>
          <w:sz w:val="24"/>
        </w:rPr>
      </w:pPr>
      <w:r>
        <w:rPr>
          <w:rFonts w:hint="eastAsia" w:hAnsi="宋体"/>
          <w:snapToGrid w:val="0"/>
          <w:kern w:val="0"/>
          <w:sz w:val="24"/>
          <w:lang w:val="en-US" w:eastAsia="zh-CN"/>
        </w:rPr>
        <w:t>6</w:t>
      </w:r>
      <w:r>
        <w:rPr>
          <w:snapToGrid w:val="0"/>
          <w:kern w:val="0"/>
          <w:sz w:val="24"/>
        </w:rPr>
        <w:t>.1.1.</w:t>
      </w:r>
      <w:r>
        <w:rPr>
          <w:rFonts w:hint="eastAsia"/>
          <w:snapToGrid w:val="0"/>
          <w:kern w:val="0"/>
          <w:sz w:val="24"/>
        </w:rPr>
        <w:t>1</w:t>
      </w:r>
      <w:r>
        <w:rPr>
          <w:snapToGrid w:val="0"/>
          <w:kern w:val="0"/>
          <w:sz w:val="24"/>
        </w:rPr>
        <w:t xml:space="preserve"> </w:t>
      </w:r>
      <w:r>
        <w:rPr>
          <w:rFonts w:hint="eastAsia"/>
          <w:snapToGrid w:val="0"/>
          <w:kern w:val="0"/>
          <w:sz w:val="24"/>
        </w:rPr>
        <w:t xml:space="preserve"> </w:t>
      </w:r>
      <w:r>
        <w:rPr>
          <w:rFonts w:hAnsi="宋体"/>
          <w:snapToGrid w:val="0"/>
          <w:kern w:val="0"/>
          <w:sz w:val="24"/>
        </w:rPr>
        <w:t>建立健全</w:t>
      </w:r>
      <w:r>
        <w:rPr>
          <w:rFonts w:hint="eastAsia" w:hAnsi="宋体"/>
          <w:snapToGrid w:val="0"/>
          <w:kern w:val="0"/>
          <w:sz w:val="24"/>
          <w:lang w:eastAsia="zh-CN"/>
        </w:rPr>
        <w:t>本公司</w:t>
      </w:r>
      <w:r>
        <w:rPr>
          <w:rFonts w:hAnsi="宋体"/>
          <w:snapToGrid w:val="0"/>
          <w:kern w:val="0"/>
          <w:sz w:val="24"/>
        </w:rPr>
        <w:t>案件防范工作领导体制和长效机制，将年度案件防范工作目标任务纳入</w:t>
      </w:r>
      <w:r>
        <w:rPr>
          <w:rFonts w:hint="eastAsia" w:hAnsi="宋体"/>
          <w:snapToGrid w:val="0"/>
          <w:kern w:val="0"/>
          <w:sz w:val="24"/>
          <w:lang w:eastAsia="zh-CN"/>
        </w:rPr>
        <w:t>全公司</w:t>
      </w:r>
      <w:r>
        <w:rPr>
          <w:rFonts w:hAnsi="宋体"/>
          <w:snapToGrid w:val="0"/>
          <w:kern w:val="0"/>
          <w:sz w:val="24"/>
        </w:rPr>
        <w:t>工作计划和行长经营绩效考核，与业务工作同部署、同落实、同检查、同考核。</w:t>
      </w:r>
    </w:p>
    <w:p w14:paraId="57F054FF">
      <w:pPr>
        <w:widowControl/>
        <w:spacing w:line="520" w:lineRule="exact"/>
        <w:jc w:val="left"/>
        <w:rPr>
          <w:rFonts w:hint="eastAsia" w:hAnsi="宋体"/>
          <w:snapToGrid w:val="0"/>
          <w:kern w:val="0"/>
          <w:sz w:val="24"/>
        </w:rPr>
      </w:pPr>
      <w:r>
        <w:rPr>
          <w:rFonts w:hint="eastAsia"/>
          <w:snapToGrid w:val="0"/>
          <w:kern w:val="0"/>
          <w:sz w:val="24"/>
          <w:lang w:val="en-US" w:eastAsia="zh-CN"/>
        </w:rPr>
        <w:t>6</w:t>
      </w:r>
      <w:r>
        <w:rPr>
          <w:snapToGrid w:val="0"/>
          <w:kern w:val="0"/>
          <w:sz w:val="24"/>
        </w:rPr>
        <w:t xml:space="preserve">.1.1.2  </w:t>
      </w:r>
      <w:r>
        <w:rPr>
          <w:rFonts w:hAnsi="宋体"/>
          <w:snapToGrid w:val="0"/>
          <w:kern w:val="0"/>
          <w:sz w:val="24"/>
        </w:rPr>
        <w:t>主持召开案件防范</w:t>
      </w:r>
      <w:r>
        <w:rPr>
          <w:rFonts w:hint="eastAsia" w:hAnsi="宋体"/>
          <w:snapToGrid w:val="0"/>
          <w:kern w:val="0"/>
          <w:sz w:val="24"/>
        </w:rPr>
        <w:t>工作</w:t>
      </w:r>
      <w:r>
        <w:rPr>
          <w:rFonts w:hAnsi="宋体"/>
          <w:snapToGrid w:val="0"/>
          <w:kern w:val="0"/>
          <w:sz w:val="24"/>
        </w:rPr>
        <w:t>会</w:t>
      </w:r>
      <w:r>
        <w:rPr>
          <w:rFonts w:hint="eastAsia" w:hAnsi="宋体"/>
          <w:snapToGrid w:val="0"/>
          <w:kern w:val="0"/>
          <w:sz w:val="24"/>
        </w:rPr>
        <w:t>议</w:t>
      </w:r>
      <w:r>
        <w:rPr>
          <w:rFonts w:hAnsi="宋体"/>
          <w:snapToGrid w:val="0"/>
          <w:kern w:val="0"/>
          <w:sz w:val="24"/>
        </w:rPr>
        <w:t>，至少每半年召开一次，听取本级案件防控部门工作汇报，分析案防形势，查找问题隐患，明确防范重点，完善措施规定，抓好落实工作</w:t>
      </w:r>
      <w:r>
        <w:rPr>
          <w:rFonts w:hint="eastAsia" w:hAnsi="宋体"/>
          <w:snapToGrid w:val="0"/>
          <w:kern w:val="0"/>
          <w:sz w:val="24"/>
        </w:rPr>
        <w:t>。</w:t>
      </w:r>
    </w:p>
    <w:p w14:paraId="39E0658D">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.1.1.3  </w:t>
      </w:r>
      <w:r>
        <w:rPr>
          <w:rFonts w:hAnsi="宋体"/>
          <w:snapToGrid w:val="0"/>
          <w:kern w:val="0"/>
          <w:sz w:val="24"/>
        </w:rPr>
        <w:t>加强对管理人员的监管，加强对</w:t>
      </w:r>
      <w:r>
        <w:rPr>
          <w:rFonts w:hint="eastAsia" w:hAnsi="宋体"/>
          <w:snapToGrid w:val="0"/>
          <w:kern w:val="0"/>
          <w:sz w:val="24"/>
          <w:lang w:eastAsia="zh-CN"/>
        </w:rPr>
        <w:t>经纪人</w:t>
      </w:r>
      <w:r>
        <w:rPr>
          <w:rFonts w:hAnsi="宋体"/>
          <w:snapToGrid w:val="0"/>
          <w:kern w:val="0"/>
          <w:sz w:val="24"/>
        </w:rPr>
        <w:t>进行案件防范、职业道德和法制纪律教育，加强制度执行力建设，确保各项制度、规定得到贯彻落实，确保所辖分支机构依法合规经营，实现案件防控目标。</w:t>
      </w:r>
    </w:p>
    <w:p w14:paraId="3FEFC49D">
      <w:pPr>
        <w:spacing w:line="520" w:lineRule="exact"/>
        <w:jc w:val="left"/>
        <w:rPr>
          <w:rFonts w:hint="eastAsia" w:hAnsi="宋体"/>
          <w:snapToGrid w:val="0"/>
          <w:kern w:val="0"/>
          <w:sz w:val="24"/>
        </w:rPr>
      </w:pPr>
      <w:r>
        <w:rPr>
          <w:rFonts w:hint="eastAsia"/>
          <w:snapToGrid w:val="0"/>
          <w:kern w:val="0"/>
          <w:sz w:val="24"/>
          <w:lang w:val="en-US" w:eastAsia="zh-CN"/>
        </w:rPr>
        <w:t>6</w:t>
      </w:r>
      <w:r>
        <w:rPr>
          <w:snapToGrid w:val="0"/>
          <w:kern w:val="0"/>
          <w:sz w:val="24"/>
        </w:rPr>
        <w:t xml:space="preserve">.1.1.4  </w:t>
      </w:r>
      <w:r>
        <w:rPr>
          <w:rFonts w:hAnsi="宋体"/>
          <w:snapToGrid w:val="0"/>
          <w:kern w:val="0"/>
          <w:sz w:val="24"/>
        </w:rPr>
        <w:t>对全辖内发现的案件线索或案件，及时妥善处理。对违法违纪违规人员，按照国家法律法规和</w:t>
      </w:r>
      <w:r>
        <w:rPr>
          <w:rFonts w:hint="eastAsia" w:hAnsi="宋体"/>
          <w:snapToGrid w:val="0"/>
          <w:kern w:val="0"/>
          <w:sz w:val="24"/>
          <w:lang w:eastAsia="zh-CN"/>
        </w:rPr>
        <w:t>本公司</w:t>
      </w:r>
      <w:r>
        <w:rPr>
          <w:rFonts w:hAnsi="宋体"/>
          <w:snapToGrid w:val="0"/>
          <w:kern w:val="0"/>
          <w:sz w:val="24"/>
        </w:rPr>
        <w:t>《</w:t>
      </w:r>
      <w:r>
        <w:rPr>
          <w:rFonts w:hint="eastAsia" w:hAnsi="宋体"/>
          <w:snapToGrid w:val="0"/>
          <w:kern w:val="0"/>
          <w:sz w:val="24"/>
          <w:lang w:eastAsia="zh-CN"/>
        </w:rPr>
        <w:t>经纪人</w:t>
      </w:r>
      <w:r>
        <w:rPr>
          <w:rFonts w:hAnsi="宋体"/>
          <w:snapToGrid w:val="0"/>
          <w:kern w:val="0"/>
          <w:sz w:val="24"/>
        </w:rPr>
        <w:t>违规行为处理</w:t>
      </w:r>
      <w:r>
        <w:rPr>
          <w:rFonts w:hint="eastAsia" w:hAnsi="宋体"/>
          <w:snapToGrid w:val="0"/>
          <w:kern w:val="0"/>
          <w:sz w:val="24"/>
        </w:rPr>
        <w:t>管理规定</w:t>
      </w:r>
      <w:r>
        <w:rPr>
          <w:rFonts w:hAnsi="宋体"/>
          <w:snapToGrid w:val="0"/>
          <w:kern w:val="0"/>
          <w:sz w:val="24"/>
        </w:rPr>
        <w:t>》，进行严肃处理。</w:t>
      </w:r>
    </w:p>
    <w:p w14:paraId="346649A9">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.1.2  </w:t>
      </w:r>
      <w:r>
        <w:rPr>
          <w:rFonts w:hAnsi="宋体"/>
          <w:snapToGrid w:val="0"/>
          <w:kern w:val="0"/>
          <w:sz w:val="24"/>
        </w:rPr>
        <w:t>各级</w:t>
      </w:r>
      <w:r>
        <w:rPr>
          <w:rFonts w:hint="eastAsia" w:hAnsi="宋体"/>
          <w:snapToGrid w:val="0"/>
          <w:kern w:val="0"/>
          <w:sz w:val="24"/>
          <w:lang w:val="en-US" w:eastAsia="zh-CN"/>
        </w:rPr>
        <w:t>机构</w:t>
      </w:r>
      <w:r>
        <w:rPr>
          <w:rFonts w:hAnsi="宋体"/>
          <w:snapToGrid w:val="0"/>
          <w:kern w:val="0"/>
          <w:sz w:val="24"/>
        </w:rPr>
        <w:t>分管案件防控工作的主管</w:t>
      </w:r>
      <w:r>
        <w:rPr>
          <w:rFonts w:hint="eastAsia" w:hAnsi="宋体"/>
          <w:snapToGrid w:val="0"/>
          <w:kern w:val="0"/>
          <w:sz w:val="24"/>
          <w:lang w:val="en-US" w:eastAsia="zh-CN"/>
        </w:rPr>
        <w:t>机构</w:t>
      </w:r>
      <w:r>
        <w:rPr>
          <w:rFonts w:hAnsi="宋体"/>
          <w:snapToGrid w:val="0"/>
          <w:kern w:val="0"/>
          <w:sz w:val="24"/>
        </w:rPr>
        <w:t>领导是本级行案件防控工作的直接领导者，具体职责是：</w:t>
      </w:r>
      <w:r>
        <w:rPr>
          <w:snapToGrid w:val="0"/>
          <w:kern w:val="0"/>
          <w:sz w:val="24"/>
        </w:rPr>
        <w:t xml:space="preserve"> </w:t>
      </w:r>
    </w:p>
    <w:p w14:paraId="758C7FCA">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.1.2.1  </w:t>
      </w:r>
      <w:r>
        <w:rPr>
          <w:rFonts w:hAnsi="宋体"/>
          <w:snapToGrid w:val="0"/>
          <w:kern w:val="0"/>
          <w:sz w:val="24"/>
        </w:rPr>
        <w:t>组织落实案件防控工作规章制度，督促检查案件防控工作责任制的落实情况；</w:t>
      </w:r>
      <w:r>
        <w:rPr>
          <w:snapToGrid w:val="0"/>
          <w:kern w:val="0"/>
          <w:sz w:val="24"/>
        </w:rPr>
        <w:t xml:space="preserve"> </w:t>
      </w:r>
    </w:p>
    <w:p w14:paraId="7707F6A9">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.1.2.2  </w:t>
      </w:r>
      <w:r>
        <w:rPr>
          <w:rFonts w:hAnsi="宋体"/>
          <w:snapToGrid w:val="0"/>
          <w:kern w:val="0"/>
          <w:sz w:val="24"/>
        </w:rPr>
        <w:t>领导案件防控部门贯彻、落实</w:t>
      </w:r>
      <w:r>
        <w:rPr>
          <w:rFonts w:hint="eastAsia" w:hAnsi="宋体"/>
          <w:snapToGrid w:val="0"/>
          <w:kern w:val="0"/>
          <w:sz w:val="24"/>
        </w:rPr>
        <w:t>监管部门</w:t>
      </w:r>
      <w:r>
        <w:rPr>
          <w:rFonts w:hAnsi="宋体"/>
          <w:snapToGrid w:val="0"/>
          <w:kern w:val="0"/>
          <w:sz w:val="24"/>
        </w:rPr>
        <w:t>和</w:t>
      </w:r>
      <w:r>
        <w:rPr>
          <w:rFonts w:hint="eastAsia" w:hAnsi="宋体"/>
          <w:snapToGrid w:val="0"/>
          <w:kern w:val="0"/>
          <w:sz w:val="24"/>
          <w:lang w:eastAsia="zh-CN"/>
        </w:rPr>
        <w:t>总公司</w:t>
      </w:r>
      <w:r>
        <w:rPr>
          <w:rFonts w:hAnsi="宋体"/>
          <w:snapToGrid w:val="0"/>
          <w:kern w:val="0"/>
          <w:sz w:val="24"/>
        </w:rPr>
        <w:t>对案件防控工作的要求和部署；</w:t>
      </w:r>
      <w:r>
        <w:rPr>
          <w:snapToGrid w:val="0"/>
          <w:kern w:val="0"/>
          <w:sz w:val="24"/>
        </w:rPr>
        <w:t xml:space="preserve"> </w:t>
      </w:r>
    </w:p>
    <w:p w14:paraId="6C1FE63A">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.1.2.3  </w:t>
      </w:r>
      <w:r>
        <w:rPr>
          <w:rFonts w:hAnsi="宋体"/>
          <w:snapToGrid w:val="0"/>
          <w:kern w:val="0"/>
          <w:sz w:val="24"/>
        </w:rPr>
        <w:t>组织有关部门开展综合性的</w:t>
      </w:r>
      <w:r>
        <w:rPr>
          <w:rFonts w:hint="eastAsia" w:hAnsi="宋体"/>
          <w:snapToGrid w:val="0"/>
          <w:kern w:val="0"/>
          <w:sz w:val="24"/>
        </w:rPr>
        <w:t>业务、</w:t>
      </w:r>
      <w:r>
        <w:rPr>
          <w:rFonts w:hAnsi="宋体"/>
          <w:snapToGrid w:val="0"/>
          <w:kern w:val="0"/>
          <w:sz w:val="24"/>
        </w:rPr>
        <w:t>安全检查，推动案件防控工作的开展；</w:t>
      </w:r>
      <w:r>
        <w:rPr>
          <w:snapToGrid w:val="0"/>
          <w:kern w:val="0"/>
          <w:sz w:val="24"/>
        </w:rPr>
        <w:t xml:space="preserve"> </w:t>
      </w:r>
    </w:p>
    <w:p w14:paraId="60280B58">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.1.2.4  </w:t>
      </w:r>
      <w:r>
        <w:rPr>
          <w:rFonts w:hAnsi="宋体"/>
          <w:snapToGrid w:val="0"/>
          <w:kern w:val="0"/>
          <w:sz w:val="24"/>
        </w:rPr>
        <w:t>深入实际调查研究，及时发现和解决案件防控工作中出现的新情况、新问题；</w:t>
      </w:r>
      <w:r>
        <w:rPr>
          <w:snapToGrid w:val="0"/>
          <w:kern w:val="0"/>
          <w:sz w:val="24"/>
        </w:rPr>
        <w:t xml:space="preserve"> </w:t>
      </w:r>
    </w:p>
    <w:p w14:paraId="4BE8D49F">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.1.2.5  </w:t>
      </w:r>
      <w:r>
        <w:rPr>
          <w:rFonts w:hAnsi="宋体"/>
          <w:snapToGrid w:val="0"/>
          <w:kern w:val="0"/>
          <w:sz w:val="24"/>
        </w:rPr>
        <w:t>随时掌握</w:t>
      </w:r>
      <w:r>
        <w:rPr>
          <w:rFonts w:hint="eastAsia" w:hAnsi="宋体"/>
          <w:snapToGrid w:val="0"/>
          <w:kern w:val="0"/>
          <w:sz w:val="24"/>
          <w:lang w:eastAsia="zh-CN"/>
        </w:rPr>
        <w:t>经纪人</w:t>
      </w:r>
      <w:r>
        <w:rPr>
          <w:rFonts w:hAnsi="宋体"/>
          <w:snapToGrid w:val="0"/>
          <w:kern w:val="0"/>
          <w:sz w:val="24"/>
        </w:rPr>
        <w:t>的思想动态，关心其工作和生活情况，充分调动其工作积极性。</w:t>
      </w:r>
      <w:r>
        <w:rPr>
          <w:snapToGrid w:val="0"/>
          <w:kern w:val="0"/>
          <w:sz w:val="24"/>
        </w:rPr>
        <w:t xml:space="preserve"> </w:t>
      </w:r>
    </w:p>
    <w:p w14:paraId="71EFBE50">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.1.3  </w:t>
      </w:r>
      <w:r>
        <w:rPr>
          <w:rFonts w:hint="eastAsia" w:hAnsi="宋体"/>
          <w:snapToGrid w:val="0"/>
          <w:kern w:val="0"/>
          <w:sz w:val="24"/>
        </w:rPr>
        <w:t>合规管理部</w:t>
      </w:r>
      <w:r>
        <w:rPr>
          <w:rFonts w:hAnsi="宋体"/>
          <w:snapToGrid w:val="0"/>
          <w:kern w:val="0"/>
          <w:sz w:val="24"/>
        </w:rPr>
        <w:t>是负责案件防控工作的职能部门，在本级</w:t>
      </w:r>
      <w:r>
        <w:rPr>
          <w:rFonts w:hint="eastAsia" w:hAnsi="宋体"/>
          <w:snapToGrid w:val="0"/>
          <w:kern w:val="0"/>
          <w:sz w:val="24"/>
          <w:lang w:val="en-US" w:eastAsia="zh-CN"/>
        </w:rPr>
        <w:t>机构负责人</w:t>
      </w:r>
      <w:r>
        <w:rPr>
          <w:rFonts w:hAnsi="宋体"/>
          <w:snapToGrid w:val="0"/>
          <w:kern w:val="0"/>
          <w:sz w:val="24"/>
        </w:rPr>
        <w:t>领导下工作，对本级</w:t>
      </w:r>
      <w:r>
        <w:rPr>
          <w:rFonts w:hint="eastAsia" w:hAnsi="宋体"/>
          <w:snapToGrid w:val="0"/>
          <w:kern w:val="0"/>
          <w:sz w:val="24"/>
          <w:lang w:val="en-US" w:eastAsia="zh-CN"/>
        </w:rPr>
        <w:t>机构负责人</w:t>
      </w:r>
      <w:r>
        <w:rPr>
          <w:rFonts w:hAnsi="宋体"/>
          <w:snapToGrid w:val="0"/>
          <w:kern w:val="0"/>
          <w:sz w:val="24"/>
        </w:rPr>
        <w:t>负责。具体职责是：</w:t>
      </w:r>
    </w:p>
    <w:p w14:paraId="11E78944">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.1.3.1  </w:t>
      </w:r>
      <w:r>
        <w:rPr>
          <w:rFonts w:hAnsi="宋体"/>
          <w:snapToGrid w:val="0"/>
          <w:kern w:val="0"/>
          <w:sz w:val="24"/>
        </w:rPr>
        <w:t>安排和部署辖内年度案件防范工作，检查、督促案件防范工作责任制的落实，具体组织召开案件防范</w:t>
      </w:r>
      <w:r>
        <w:rPr>
          <w:rFonts w:hint="eastAsia" w:hAnsi="宋体"/>
          <w:snapToGrid w:val="0"/>
          <w:kern w:val="0"/>
          <w:sz w:val="24"/>
        </w:rPr>
        <w:t>工作</w:t>
      </w:r>
      <w:r>
        <w:rPr>
          <w:rFonts w:hAnsi="宋体"/>
          <w:snapToGrid w:val="0"/>
          <w:kern w:val="0"/>
          <w:sz w:val="24"/>
        </w:rPr>
        <w:t>会。</w:t>
      </w:r>
    </w:p>
    <w:p w14:paraId="1F60D179">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.1.3.2  </w:t>
      </w:r>
      <w:r>
        <w:rPr>
          <w:rFonts w:hAnsi="宋体"/>
          <w:snapToGrid w:val="0"/>
          <w:kern w:val="0"/>
          <w:sz w:val="24"/>
        </w:rPr>
        <w:t>组织操作风险防范工作，加强对操作风险指标的监测。督促检查专业部门各项规章制度和规定的落实情况。建立</w:t>
      </w:r>
      <w:r>
        <w:rPr>
          <w:rFonts w:hint="eastAsia" w:hAnsi="宋体"/>
          <w:snapToGrid w:val="0"/>
          <w:kern w:val="0"/>
          <w:sz w:val="24"/>
          <w:lang w:eastAsia="zh-CN"/>
        </w:rPr>
        <w:t>经纪人</w:t>
      </w:r>
      <w:r>
        <w:rPr>
          <w:rFonts w:hAnsi="宋体"/>
          <w:snapToGrid w:val="0"/>
          <w:kern w:val="0"/>
          <w:sz w:val="24"/>
        </w:rPr>
        <w:t>违规违章处罚档案，并定期通报。对发现的案件线索及时报告并配合有关部门进行查处。</w:t>
      </w:r>
    </w:p>
    <w:p w14:paraId="2F876655">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.1.3.3  </w:t>
      </w:r>
      <w:r>
        <w:rPr>
          <w:rFonts w:hAnsi="宋体"/>
          <w:snapToGrid w:val="0"/>
          <w:kern w:val="0"/>
          <w:sz w:val="24"/>
        </w:rPr>
        <w:t>配合查处违法违纪案件，分析案发原因、特点及存在的问题，提出防范措施，依据《</w:t>
      </w:r>
      <w:r>
        <w:rPr>
          <w:rFonts w:hint="eastAsia" w:hAnsi="宋体"/>
          <w:snapToGrid w:val="0"/>
          <w:kern w:val="0"/>
          <w:sz w:val="24"/>
          <w:lang w:eastAsia="zh-CN"/>
        </w:rPr>
        <w:t>经纪人</w:t>
      </w:r>
      <w:r>
        <w:rPr>
          <w:rFonts w:hAnsi="宋体"/>
          <w:snapToGrid w:val="0"/>
          <w:kern w:val="0"/>
          <w:sz w:val="24"/>
        </w:rPr>
        <w:t>违规行为处理</w:t>
      </w:r>
      <w:r>
        <w:rPr>
          <w:rFonts w:hint="eastAsia" w:hAnsi="宋体"/>
          <w:snapToGrid w:val="0"/>
          <w:kern w:val="0"/>
          <w:sz w:val="24"/>
        </w:rPr>
        <w:t>管理规定</w:t>
      </w:r>
      <w:r>
        <w:rPr>
          <w:rFonts w:hAnsi="宋体"/>
          <w:snapToGrid w:val="0"/>
          <w:kern w:val="0"/>
          <w:sz w:val="24"/>
        </w:rPr>
        <w:t>》，对违反案件防控工作制度的机构和个人提出经济处罚及行政处分的建议。</w:t>
      </w:r>
      <w:r>
        <w:rPr>
          <w:snapToGrid w:val="0"/>
          <w:kern w:val="0"/>
          <w:sz w:val="24"/>
        </w:rPr>
        <w:t xml:space="preserve"> </w:t>
      </w:r>
    </w:p>
    <w:p w14:paraId="4FBA1EE1">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.1.4  </w:t>
      </w:r>
      <w:r>
        <w:rPr>
          <w:rFonts w:hAnsi="宋体"/>
          <w:snapToGrid w:val="0"/>
          <w:kern w:val="0"/>
          <w:sz w:val="24"/>
        </w:rPr>
        <w:t>各</w:t>
      </w:r>
      <w:r>
        <w:rPr>
          <w:rFonts w:hint="eastAsia" w:hAnsi="宋体"/>
          <w:snapToGrid w:val="0"/>
          <w:kern w:val="0"/>
          <w:sz w:val="24"/>
        </w:rPr>
        <w:t>分支机构</w:t>
      </w:r>
      <w:r>
        <w:rPr>
          <w:rFonts w:hAnsi="宋体"/>
          <w:snapToGrid w:val="0"/>
          <w:kern w:val="0"/>
          <w:sz w:val="24"/>
        </w:rPr>
        <w:t>负责人对本单位的安全</w:t>
      </w:r>
      <w:r>
        <w:rPr>
          <w:rFonts w:hint="eastAsia" w:hAnsi="宋体"/>
          <w:snapToGrid w:val="0"/>
          <w:kern w:val="0"/>
          <w:sz w:val="24"/>
        </w:rPr>
        <w:t>案件</w:t>
      </w:r>
      <w:r>
        <w:rPr>
          <w:rFonts w:hAnsi="宋体"/>
          <w:snapToGrid w:val="0"/>
          <w:kern w:val="0"/>
          <w:sz w:val="24"/>
        </w:rPr>
        <w:t>防</w:t>
      </w:r>
      <w:r>
        <w:rPr>
          <w:rFonts w:hint="eastAsia" w:hAnsi="宋体"/>
          <w:snapToGrid w:val="0"/>
          <w:kern w:val="0"/>
          <w:sz w:val="24"/>
        </w:rPr>
        <w:t>控</w:t>
      </w:r>
      <w:r>
        <w:rPr>
          <w:rFonts w:hAnsi="宋体"/>
          <w:snapToGrid w:val="0"/>
          <w:kern w:val="0"/>
          <w:sz w:val="24"/>
        </w:rPr>
        <w:t>工作负责，具体职责是：</w:t>
      </w:r>
    </w:p>
    <w:p w14:paraId="631C9086">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.1.4.1  </w:t>
      </w:r>
      <w:r>
        <w:rPr>
          <w:rFonts w:hAnsi="宋体"/>
          <w:snapToGrid w:val="0"/>
          <w:kern w:val="0"/>
          <w:sz w:val="24"/>
        </w:rPr>
        <w:t>及时传达</w:t>
      </w:r>
      <w:r>
        <w:rPr>
          <w:rFonts w:hint="eastAsia" w:hAnsi="宋体"/>
          <w:snapToGrid w:val="0"/>
          <w:kern w:val="0"/>
          <w:sz w:val="24"/>
          <w:lang w:eastAsia="zh-CN"/>
        </w:rPr>
        <w:t>总公司</w:t>
      </w:r>
      <w:r>
        <w:rPr>
          <w:rFonts w:hAnsi="宋体"/>
          <w:snapToGrid w:val="0"/>
          <w:kern w:val="0"/>
          <w:sz w:val="24"/>
        </w:rPr>
        <w:t>案防工作要求并组织落实；每月至少组织进行一次规章制度学习和内控案防教育，切实提高业务素质，增强制度执行意识；及时解决制度执行和案件防</w:t>
      </w:r>
      <w:r>
        <w:rPr>
          <w:rFonts w:hint="eastAsia" w:hAnsi="宋体"/>
          <w:snapToGrid w:val="0"/>
          <w:kern w:val="0"/>
          <w:sz w:val="24"/>
        </w:rPr>
        <w:t>控</w:t>
      </w:r>
      <w:r>
        <w:rPr>
          <w:rFonts w:hAnsi="宋体"/>
          <w:snapToGrid w:val="0"/>
          <w:kern w:val="0"/>
          <w:sz w:val="24"/>
        </w:rPr>
        <w:t>过程中存在的问题；对检查中发现的问题，严格抓好整改工作。</w:t>
      </w:r>
    </w:p>
    <w:p w14:paraId="49DA6D79">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.1.4.</w:t>
      </w:r>
      <w:r>
        <w:rPr>
          <w:rFonts w:hint="eastAsia"/>
          <w:snapToGrid w:val="0"/>
          <w:kern w:val="0"/>
          <w:sz w:val="24"/>
          <w:lang w:val="en-US" w:eastAsia="zh-CN"/>
        </w:rPr>
        <w:t>2</w:t>
      </w:r>
      <w:r>
        <w:rPr>
          <w:snapToGrid w:val="0"/>
          <w:kern w:val="0"/>
          <w:sz w:val="24"/>
        </w:rPr>
        <w:t xml:space="preserve">  </w:t>
      </w:r>
      <w:r>
        <w:rPr>
          <w:rFonts w:hint="eastAsia"/>
          <w:snapToGrid w:val="0"/>
          <w:kern w:val="0"/>
          <w:sz w:val="24"/>
        </w:rPr>
        <w:t>从</w:t>
      </w:r>
      <w:r>
        <w:rPr>
          <w:rFonts w:hint="eastAsia" w:ascii="宋体" w:hAnsi="宋体" w:cs="宋体"/>
          <w:kern w:val="0"/>
          <w:sz w:val="24"/>
        </w:rPr>
        <w:t>行业规范、工作责任心、劳动纪律、职业道德和社会公德等五个方面</w:t>
      </w:r>
      <w:r>
        <w:rPr>
          <w:rFonts w:hAnsi="宋体"/>
          <w:snapToGrid w:val="0"/>
          <w:kern w:val="0"/>
          <w:sz w:val="24"/>
        </w:rPr>
        <w:t>及时掌握</w:t>
      </w:r>
      <w:r>
        <w:rPr>
          <w:rFonts w:hint="eastAsia" w:hAnsi="宋体"/>
          <w:snapToGrid w:val="0"/>
          <w:kern w:val="0"/>
          <w:sz w:val="24"/>
          <w:lang w:eastAsia="zh-CN"/>
        </w:rPr>
        <w:t>经纪人</w:t>
      </w:r>
      <w:r>
        <w:rPr>
          <w:rFonts w:hAnsi="宋体"/>
          <w:snapToGrid w:val="0"/>
          <w:kern w:val="0"/>
          <w:sz w:val="24"/>
        </w:rPr>
        <w:t>行为变化情况，一旦发现</w:t>
      </w:r>
      <w:r>
        <w:rPr>
          <w:rFonts w:hint="eastAsia" w:hAnsi="宋体"/>
          <w:snapToGrid w:val="0"/>
          <w:kern w:val="0"/>
          <w:sz w:val="24"/>
          <w:lang w:eastAsia="zh-CN"/>
        </w:rPr>
        <w:t>经纪人</w:t>
      </w:r>
      <w:r>
        <w:rPr>
          <w:rFonts w:hAnsi="宋体"/>
          <w:snapToGrid w:val="0"/>
          <w:kern w:val="0"/>
          <w:sz w:val="24"/>
        </w:rPr>
        <w:t>有经商、赌博、消费明显超过本人收入水平、无故不到岗等异常行为，要及时向上级主管部门汇报并提出管理建议，防止产生案件隐患。</w:t>
      </w:r>
    </w:p>
    <w:p w14:paraId="60538A89">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.1.4.</w:t>
      </w:r>
      <w:r>
        <w:rPr>
          <w:rFonts w:hint="eastAsia"/>
          <w:snapToGrid w:val="0"/>
          <w:kern w:val="0"/>
          <w:sz w:val="24"/>
          <w:lang w:val="en-US" w:eastAsia="zh-CN"/>
        </w:rPr>
        <w:t>3</w:t>
      </w:r>
      <w:r>
        <w:rPr>
          <w:snapToGrid w:val="0"/>
          <w:kern w:val="0"/>
          <w:sz w:val="24"/>
        </w:rPr>
        <w:t xml:space="preserve">  </w:t>
      </w:r>
      <w:r>
        <w:rPr>
          <w:rFonts w:hAnsi="宋体"/>
          <w:snapToGrid w:val="0"/>
          <w:kern w:val="0"/>
          <w:sz w:val="24"/>
        </w:rPr>
        <w:t>发现案件线索或案件，要立即控制涉案人员及相关账户涉案资金，同时向上级行报告。</w:t>
      </w:r>
    </w:p>
    <w:p w14:paraId="7FCB857C">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.1.5  </w:t>
      </w:r>
      <w:r>
        <w:rPr>
          <w:rFonts w:hAnsi="宋体"/>
          <w:snapToGrid w:val="0"/>
          <w:kern w:val="0"/>
          <w:sz w:val="24"/>
        </w:rPr>
        <w:t>各岗位工作人员对本岗位安全负责。工作人员应当严格履行岗位职责，认真执行规章制度和操作规程，确保本岗位工作安全。</w:t>
      </w:r>
    </w:p>
    <w:p w14:paraId="39DD7670">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.2  </w:t>
      </w:r>
      <w:r>
        <w:rPr>
          <w:rFonts w:hAnsi="宋体"/>
          <w:snapToGrid w:val="0"/>
          <w:kern w:val="0"/>
          <w:sz w:val="24"/>
        </w:rPr>
        <w:t>案件防控教育</w:t>
      </w:r>
    </w:p>
    <w:p w14:paraId="2892B583">
      <w:pPr>
        <w:spacing w:line="520" w:lineRule="exact"/>
        <w:jc w:val="left"/>
        <w:rPr>
          <w:snapToGrid w:val="0"/>
          <w:kern w:val="0"/>
          <w:sz w:val="24"/>
        </w:rPr>
      </w:pPr>
      <w:r>
        <w:rPr>
          <w:rFonts w:hAnsi="宋体"/>
          <w:snapToGrid w:val="0"/>
          <w:kern w:val="0"/>
          <w:sz w:val="24"/>
        </w:rPr>
        <w:t>各级机构要落实案件预防教育，强化案件防范意识。</w:t>
      </w:r>
    </w:p>
    <w:p w14:paraId="38F08540">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.2.1  </w:t>
      </w:r>
      <w:r>
        <w:rPr>
          <w:rFonts w:hAnsi="宋体"/>
          <w:snapToGrid w:val="0"/>
          <w:kern w:val="0"/>
          <w:sz w:val="24"/>
        </w:rPr>
        <w:t>开展政纪教育，提高</w:t>
      </w:r>
      <w:r>
        <w:rPr>
          <w:rFonts w:hint="eastAsia" w:hAnsi="宋体"/>
          <w:snapToGrid w:val="0"/>
          <w:kern w:val="0"/>
          <w:sz w:val="24"/>
          <w:lang w:eastAsia="zh-CN"/>
        </w:rPr>
        <w:t>全公司</w:t>
      </w:r>
      <w:r>
        <w:rPr>
          <w:rFonts w:hAnsi="宋体"/>
          <w:snapToGrid w:val="0"/>
          <w:kern w:val="0"/>
          <w:sz w:val="24"/>
        </w:rPr>
        <w:t>人员依法合规经营意识和拒腐防变的能力；</w:t>
      </w:r>
    </w:p>
    <w:p w14:paraId="2CD27D2E">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.2.2  </w:t>
      </w:r>
      <w:r>
        <w:rPr>
          <w:rFonts w:hAnsi="宋体"/>
          <w:snapToGrid w:val="0"/>
          <w:kern w:val="0"/>
          <w:sz w:val="24"/>
        </w:rPr>
        <w:t>开展法制教育，对全体</w:t>
      </w:r>
      <w:r>
        <w:rPr>
          <w:rFonts w:hint="eastAsia" w:hAnsi="宋体"/>
          <w:snapToGrid w:val="0"/>
          <w:kern w:val="0"/>
          <w:sz w:val="24"/>
          <w:lang w:eastAsia="zh-CN"/>
        </w:rPr>
        <w:t>经纪人</w:t>
      </w:r>
      <w:r>
        <w:rPr>
          <w:rFonts w:hAnsi="宋体"/>
          <w:snapToGrid w:val="0"/>
          <w:kern w:val="0"/>
          <w:sz w:val="24"/>
        </w:rPr>
        <w:t>特别是新</w:t>
      </w:r>
      <w:r>
        <w:rPr>
          <w:rFonts w:hint="eastAsia" w:hAnsi="宋体"/>
          <w:snapToGrid w:val="0"/>
          <w:kern w:val="0"/>
          <w:sz w:val="24"/>
        </w:rPr>
        <w:t>入行</w:t>
      </w:r>
      <w:r>
        <w:rPr>
          <w:rFonts w:hint="eastAsia" w:hAnsi="宋体"/>
          <w:snapToGrid w:val="0"/>
          <w:kern w:val="0"/>
          <w:sz w:val="24"/>
          <w:lang w:eastAsia="zh-CN"/>
        </w:rPr>
        <w:t>经纪人</w:t>
      </w:r>
      <w:r>
        <w:rPr>
          <w:rFonts w:hAnsi="宋体"/>
          <w:snapToGrid w:val="0"/>
          <w:kern w:val="0"/>
          <w:sz w:val="24"/>
        </w:rPr>
        <w:t>开展法律教育、制度教育、职业操守教育、廉洁从业教育，增强</w:t>
      </w:r>
      <w:r>
        <w:rPr>
          <w:rFonts w:hint="eastAsia" w:hAnsi="宋体"/>
          <w:snapToGrid w:val="0"/>
          <w:kern w:val="0"/>
          <w:sz w:val="24"/>
          <w:lang w:eastAsia="zh-CN"/>
        </w:rPr>
        <w:t>经纪人</w:t>
      </w:r>
      <w:r>
        <w:rPr>
          <w:rFonts w:hAnsi="宋体"/>
          <w:snapToGrid w:val="0"/>
          <w:kern w:val="0"/>
          <w:sz w:val="24"/>
        </w:rPr>
        <w:t>遵法守纪、按章操作的意识；</w:t>
      </w:r>
    </w:p>
    <w:p w14:paraId="21A5771B">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.2.3  </w:t>
      </w:r>
      <w:r>
        <w:rPr>
          <w:rFonts w:hAnsi="宋体"/>
          <w:snapToGrid w:val="0"/>
          <w:kern w:val="0"/>
          <w:sz w:val="24"/>
        </w:rPr>
        <w:t>开展案例警示教育，充分利用各类宣传教育资源，学习案例，警示各岗位</w:t>
      </w:r>
      <w:r>
        <w:rPr>
          <w:rFonts w:hint="eastAsia" w:hAnsi="宋体"/>
          <w:snapToGrid w:val="0"/>
          <w:kern w:val="0"/>
          <w:sz w:val="24"/>
          <w:lang w:eastAsia="zh-CN"/>
        </w:rPr>
        <w:t>经纪人</w:t>
      </w:r>
      <w:r>
        <w:rPr>
          <w:rFonts w:hAnsi="宋体"/>
          <w:snapToGrid w:val="0"/>
          <w:kern w:val="0"/>
          <w:sz w:val="24"/>
        </w:rPr>
        <w:t>自觉遵守职业操守，从思想根源上消除风险案件隐患；</w:t>
      </w:r>
    </w:p>
    <w:p w14:paraId="72ADD149">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.2.4  </w:t>
      </w:r>
      <w:r>
        <w:rPr>
          <w:rFonts w:hAnsi="宋体"/>
          <w:snapToGrid w:val="0"/>
          <w:kern w:val="0"/>
          <w:sz w:val="24"/>
        </w:rPr>
        <w:t>开展</w:t>
      </w:r>
      <w:r>
        <w:rPr>
          <w:rFonts w:hint="eastAsia" w:hAnsi="宋体"/>
          <w:snapToGrid w:val="0"/>
          <w:kern w:val="0"/>
          <w:sz w:val="24"/>
        </w:rPr>
        <w:t>业务</w:t>
      </w:r>
      <w:r>
        <w:rPr>
          <w:rFonts w:hAnsi="宋体"/>
          <w:snapToGrid w:val="0"/>
          <w:kern w:val="0"/>
          <w:sz w:val="24"/>
        </w:rPr>
        <w:t>风险要点教育，从分析案件和重大违规事件暴露出的突出问题入手，梳理、提炼若干易于记诵、便于执行的风险防范要点，使</w:t>
      </w:r>
      <w:r>
        <w:rPr>
          <w:rFonts w:hint="eastAsia" w:hAnsi="宋体"/>
          <w:snapToGrid w:val="0"/>
          <w:kern w:val="0"/>
          <w:sz w:val="24"/>
          <w:lang w:eastAsia="zh-CN"/>
        </w:rPr>
        <w:t>经纪人</w:t>
      </w:r>
      <w:r>
        <w:rPr>
          <w:rFonts w:hAnsi="宋体"/>
          <w:snapToGrid w:val="0"/>
          <w:kern w:val="0"/>
          <w:sz w:val="24"/>
        </w:rPr>
        <w:t>耳熟能详，形成操作上的自觉。</w:t>
      </w:r>
    </w:p>
    <w:p w14:paraId="7B94F235">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.3  </w:t>
      </w:r>
      <w:r>
        <w:rPr>
          <w:rFonts w:hAnsi="宋体"/>
          <w:snapToGrid w:val="0"/>
          <w:kern w:val="0"/>
          <w:sz w:val="24"/>
        </w:rPr>
        <w:t>案件防控制度落实</w:t>
      </w:r>
    </w:p>
    <w:p w14:paraId="5FF7662E">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.3.1  </w:t>
      </w:r>
      <w:r>
        <w:rPr>
          <w:rFonts w:hAnsi="宋体"/>
          <w:snapToGrid w:val="0"/>
          <w:kern w:val="0"/>
          <w:sz w:val="24"/>
        </w:rPr>
        <w:t>加强重要部门管理。按照国家和</w:t>
      </w:r>
      <w:r>
        <w:rPr>
          <w:rFonts w:hint="eastAsia" w:hAnsi="宋体"/>
          <w:snapToGrid w:val="0"/>
          <w:kern w:val="0"/>
          <w:sz w:val="24"/>
          <w:lang w:eastAsia="zh-CN"/>
        </w:rPr>
        <w:t>本公司</w:t>
      </w:r>
      <w:r>
        <w:rPr>
          <w:rFonts w:hAnsi="宋体"/>
          <w:snapToGrid w:val="0"/>
          <w:kern w:val="0"/>
          <w:sz w:val="24"/>
        </w:rPr>
        <w:t>有关规定，做好营业场所、保管箱</w:t>
      </w:r>
      <w:r>
        <w:rPr>
          <w:rFonts w:hint="eastAsia" w:hAnsi="宋体"/>
          <w:snapToGrid w:val="0"/>
          <w:kern w:val="0"/>
          <w:sz w:val="24"/>
        </w:rPr>
        <w:t>（</w:t>
      </w:r>
      <w:r>
        <w:rPr>
          <w:rFonts w:hAnsi="宋体"/>
          <w:snapToGrid w:val="0"/>
          <w:kern w:val="0"/>
          <w:sz w:val="24"/>
        </w:rPr>
        <w:t>库</w:t>
      </w:r>
      <w:r>
        <w:rPr>
          <w:rFonts w:hint="eastAsia" w:hAnsi="宋体"/>
          <w:snapToGrid w:val="0"/>
          <w:kern w:val="0"/>
          <w:sz w:val="24"/>
        </w:rPr>
        <w:t>）</w:t>
      </w:r>
      <w:r>
        <w:rPr>
          <w:rFonts w:hAnsi="宋体"/>
          <w:snapToGrid w:val="0"/>
          <w:kern w:val="0"/>
          <w:sz w:val="24"/>
        </w:rPr>
        <w:t>、档案室、计算机房（设备间）、办公楼等重点部位监控和安全防范工作，严防诈骗、抢劫、盗窃、恐怖袭击等外部侵害案件；</w:t>
      </w:r>
    </w:p>
    <w:p w14:paraId="5F89325E">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.3.</w:t>
      </w:r>
      <w:r>
        <w:rPr>
          <w:rFonts w:hint="eastAsia"/>
          <w:snapToGrid w:val="0"/>
          <w:kern w:val="0"/>
          <w:sz w:val="24"/>
          <w:lang w:val="en-US" w:eastAsia="zh-CN"/>
        </w:rPr>
        <w:t>2</w:t>
      </w:r>
      <w:r>
        <w:rPr>
          <w:rFonts w:hint="eastAsia"/>
          <w:snapToGrid w:val="0"/>
          <w:kern w:val="0"/>
          <w:sz w:val="24"/>
        </w:rPr>
        <w:t xml:space="preserve">  </w:t>
      </w:r>
      <w:r>
        <w:rPr>
          <w:rFonts w:hAnsi="宋体"/>
          <w:snapToGrid w:val="0"/>
          <w:kern w:val="0"/>
          <w:sz w:val="24"/>
        </w:rPr>
        <w:t>严格对</w:t>
      </w:r>
      <w:r>
        <w:rPr>
          <w:rFonts w:hint="eastAsia" w:hAnsi="宋体"/>
          <w:snapToGrid w:val="0"/>
          <w:kern w:val="0"/>
          <w:sz w:val="24"/>
        </w:rPr>
        <w:t>各级</w:t>
      </w:r>
      <w:r>
        <w:rPr>
          <w:rFonts w:hAnsi="宋体"/>
          <w:snapToGrid w:val="0"/>
          <w:kern w:val="0"/>
          <w:sz w:val="24"/>
        </w:rPr>
        <w:t>管理人员、重要岗位人员的监管，按照德才兼备的原则，把好各机构负责人、关键岗位人员的选人用人关。认真执行民主生活会、述职述廉、重大事项报告、诫勉谈话等监督制度，督促领导班子成员廉洁自律、当好表率；</w:t>
      </w:r>
    </w:p>
    <w:p w14:paraId="08BE2319">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.3.</w:t>
      </w:r>
      <w:r>
        <w:rPr>
          <w:rFonts w:hint="eastAsia"/>
          <w:snapToGrid w:val="0"/>
          <w:kern w:val="0"/>
          <w:sz w:val="24"/>
          <w:lang w:val="en-US" w:eastAsia="zh-CN"/>
        </w:rPr>
        <w:t>3</w:t>
      </w:r>
      <w:r>
        <w:rPr>
          <w:snapToGrid w:val="0"/>
          <w:kern w:val="0"/>
          <w:sz w:val="24"/>
        </w:rPr>
        <w:t xml:space="preserve">  </w:t>
      </w:r>
      <w:r>
        <w:rPr>
          <w:rFonts w:hAnsi="宋体"/>
          <w:snapToGrid w:val="0"/>
          <w:kern w:val="0"/>
          <w:sz w:val="24"/>
        </w:rPr>
        <w:t>认真落实</w:t>
      </w:r>
      <w:r>
        <w:rPr>
          <w:rFonts w:hint="eastAsia" w:hAnsi="宋体"/>
          <w:snapToGrid w:val="0"/>
          <w:kern w:val="0"/>
          <w:sz w:val="24"/>
        </w:rPr>
        <w:t>各级</w:t>
      </w:r>
      <w:r>
        <w:rPr>
          <w:rFonts w:hAnsi="宋体"/>
          <w:snapToGrid w:val="0"/>
          <w:kern w:val="0"/>
          <w:sz w:val="24"/>
        </w:rPr>
        <w:t>管理人员、重要岗位人员的监管制度，坚持重要业务岗位分离制度，关键岗位人员定期轮岗、强制休假制度和管理人员离任审计制度。</w:t>
      </w:r>
    </w:p>
    <w:p w14:paraId="23DBBCFD">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.4  </w:t>
      </w:r>
      <w:r>
        <w:rPr>
          <w:rFonts w:hAnsi="宋体"/>
          <w:snapToGrid w:val="0"/>
          <w:kern w:val="0"/>
          <w:sz w:val="24"/>
        </w:rPr>
        <w:t>案件防控监督检查</w:t>
      </w:r>
    </w:p>
    <w:p w14:paraId="61361FE2">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.4.1  </w:t>
      </w:r>
      <w:r>
        <w:rPr>
          <w:rFonts w:hAnsi="宋体"/>
          <w:snapToGrid w:val="0"/>
          <w:kern w:val="0"/>
          <w:sz w:val="24"/>
        </w:rPr>
        <w:t>各级行案件防控部门应履行监督检查职能，工作重点放在易发生案件的营业场所和重要部门、关键岗位、管理人员。</w:t>
      </w:r>
      <w:r>
        <w:rPr>
          <w:rFonts w:hint="eastAsia" w:hAnsi="宋体"/>
          <w:snapToGrid w:val="0"/>
          <w:kern w:val="0"/>
          <w:sz w:val="24"/>
          <w:lang w:eastAsia="zh-CN"/>
        </w:rPr>
        <w:t>总公司</w:t>
      </w:r>
      <w:r>
        <w:rPr>
          <w:rFonts w:hAnsi="宋体"/>
          <w:snapToGrid w:val="0"/>
          <w:kern w:val="0"/>
          <w:sz w:val="24"/>
        </w:rPr>
        <w:t>案件防控部门</w:t>
      </w:r>
      <w:r>
        <w:rPr>
          <w:rFonts w:hint="eastAsia" w:hAnsi="宋体"/>
          <w:snapToGrid w:val="0"/>
          <w:kern w:val="0"/>
          <w:sz w:val="24"/>
        </w:rPr>
        <w:t>或组织业务管理部门</w:t>
      </w:r>
      <w:r>
        <w:rPr>
          <w:rFonts w:hAnsi="宋体"/>
          <w:snapToGrid w:val="0"/>
          <w:kern w:val="0"/>
          <w:sz w:val="24"/>
        </w:rPr>
        <w:t>对各分支行每年</w:t>
      </w:r>
      <w:r>
        <w:rPr>
          <w:rFonts w:hint="eastAsia" w:hAnsi="宋体"/>
          <w:snapToGrid w:val="0"/>
          <w:kern w:val="0"/>
          <w:sz w:val="24"/>
        </w:rPr>
        <w:t>至少</w:t>
      </w:r>
      <w:r>
        <w:rPr>
          <w:rFonts w:hAnsi="宋体"/>
          <w:snapToGrid w:val="0"/>
          <w:kern w:val="0"/>
          <w:sz w:val="24"/>
        </w:rPr>
        <w:t>检查</w:t>
      </w:r>
      <w:r>
        <w:rPr>
          <w:rFonts w:hint="eastAsia" w:hAnsi="宋体"/>
          <w:snapToGrid w:val="0"/>
          <w:kern w:val="0"/>
          <w:sz w:val="24"/>
        </w:rPr>
        <w:t>1</w:t>
      </w:r>
      <w:r>
        <w:rPr>
          <w:rFonts w:hAnsi="宋体"/>
          <w:snapToGrid w:val="0"/>
          <w:kern w:val="0"/>
          <w:sz w:val="24"/>
        </w:rPr>
        <w:t>次，覆盖面达</w:t>
      </w:r>
      <w:r>
        <w:rPr>
          <w:snapToGrid w:val="0"/>
          <w:kern w:val="0"/>
          <w:sz w:val="24"/>
        </w:rPr>
        <w:t>100</w:t>
      </w:r>
      <w:r>
        <w:rPr>
          <w:rFonts w:hint="eastAsia"/>
          <w:snapToGrid w:val="0"/>
          <w:kern w:val="0"/>
          <w:sz w:val="24"/>
        </w:rPr>
        <w:t>%</w:t>
      </w:r>
      <w:r>
        <w:rPr>
          <w:rFonts w:hAnsi="宋体"/>
          <w:snapToGrid w:val="0"/>
          <w:kern w:val="0"/>
          <w:sz w:val="24"/>
        </w:rPr>
        <w:t>，通过实施专业检查、合规检查、执法检查等方式，督促案件防范工作责任制的贯彻落实，检查结果纳入年度各分支行经营绩效考核。</w:t>
      </w:r>
    </w:p>
    <w:p w14:paraId="6B0DF3AB">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.4.2  </w:t>
      </w:r>
      <w:r>
        <w:rPr>
          <w:rFonts w:hAnsi="宋体"/>
          <w:snapToGrid w:val="0"/>
          <w:kern w:val="0"/>
          <w:sz w:val="24"/>
        </w:rPr>
        <w:t>落实整改措施，对在日常检查中发现的薄弱环节和违纪违规行为、各类案件或苗头性问题，做到发现一件，查处一件，加大惩处力度，产生以儆效尤的作用，震慑试图作案的人员。各分支机构负责人和部门负责人，不履行规定责任或瞒案不报、有案不查的，要按照《</w:t>
      </w:r>
      <w:r>
        <w:rPr>
          <w:rFonts w:hint="eastAsia" w:hAnsi="宋体"/>
          <w:snapToGrid w:val="0"/>
          <w:kern w:val="0"/>
          <w:sz w:val="24"/>
          <w:lang w:eastAsia="zh-CN"/>
        </w:rPr>
        <w:t>经纪人</w:t>
      </w:r>
      <w:r>
        <w:rPr>
          <w:rFonts w:hAnsi="宋体"/>
          <w:snapToGrid w:val="0"/>
          <w:kern w:val="0"/>
          <w:sz w:val="24"/>
        </w:rPr>
        <w:t>违规行为处理</w:t>
      </w:r>
      <w:r>
        <w:rPr>
          <w:rFonts w:hint="eastAsia" w:hAnsi="宋体"/>
          <w:snapToGrid w:val="0"/>
          <w:kern w:val="0"/>
          <w:sz w:val="24"/>
        </w:rPr>
        <w:t>管理规定</w:t>
      </w:r>
      <w:r>
        <w:rPr>
          <w:rFonts w:hAnsi="宋体"/>
          <w:snapToGrid w:val="0"/>
          <w:kern w:val="0"/>
          <w:sz w:val="24"/>
        </w:rPr>
        <w:t>》</w:t>
      </w:r>
      <w:r>
        <w:rPr>
          <w:rFonts w:hint="eastAsia" w:hAnsi="宋体"/>
          <w:snapToGrid w:val="0"/>
          <w:kern w:val="0"/>
          <w:sz w:val="24"/>
        </w:rPr>
        <w:t>、《案防防控责任书》</w:t>
      </w:r>
      <w:r>
        <w:rPr>
          <w:rFonts w:hAnsi="宋体"/>
          <w:snapToGrid w:val="0"/>
          <w:kern w:val="0"/>
          <w:sz w:val="24"/>
        </w:rPr>
        <w:t>进行严肃处理。</w:t>
      </w:r>
    </w:p>
    <w:p w14:paraId="07A75076">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.5  </w:t>
      </w:r>
      <w:r>
        <w:rPr>
          <w:rFonts w:hAnsi="宋体"/>
          <w:snapToGrid w:val="0"/>
          <w:kern w:val="0"/>
          <w:sz w:val="24"/>
        </w:rPr>
        <w:t>案件防控</w:t>
      </w:r>
      <w:r>
        <w:rPr>
          <w:rFonts w:hAnsi="宋体"/>
          <w:bCs/>
          <w:snapToGrid w:val="0"/>
          <w:kern w:val="0"/>
          <w:sz w:val="24"/>
        </w:rPr>
        <w:t>责任追究</w:t>
      </w:r>
    </w:p>
    <w:p w14:paraId="02333136">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.5.1  </w:t>
      </w:r>
      <w:r>
        <w:rPr>
          <w:rFonts w:hint="eastAsia" w:hAnsi="宋体"/>
          <w:snapToGrid w:val="0"/>
          <w:kern w:val="0"/>
          <w:sz w:val="24"/>
          <w:lang w:eastAsia="zh-CN"/>
        </w:rPr>
        <w:t>本公司</w:t>
      </w:r>
      <w:r>
        <w:rPr>
          <w:rFonts w:hAnsi="宋体"/>
          <w:snapToGrid w:val="0"/>
          <w:kern w:val="0"/>
          <w:sz w:val="24"/>
        </w:rPr>
        <w:t>对案件实行责任追究制。</w:t>
      </w:r>
    </w:p>
    <w:p w14:paraId="7A4F18D8">
      <w:pPr>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.5.2  </w:t>
      </w:r>
      <w:r>
        <w:rPr>
          <w:rFonts w:hint="eastAsia" w:hAnsi="宋体"/>
          <w:snapToGrid w:val="0"/>
          <w:kern w:val="0"/>
          <w:sz w:val="24"/>
          <w:lang w:eastAsia="zh-CN"/>
        </w:rPr>
        <w:t>本公司</w:t>
      </w:r>
      <w:r>
        <w:rPr>
          <w:rFonts w:hAnsi="宋体"/>
          <w:snapToGrid w:val="0"/>
          <w:kern w:val="0"/>
          <w:sz w:val="24"/>
        </w:rPr>
        <w:t>各级行主要负责人、主管领导、有关部门负责人对案件的发生，依据法律、行政法规和本规定的条款有失职、渎职情形或者负有领导责任的，依照《</w:t>
      </w:r>
      <w:r>
        <w:rPr>
          <w:rFonts w:hint="eastAsia" w:hAnsi="宋体"/>
          <w:snapToGrid w:val="0"/>
          <w:kern w:val="0"/>
          <w:sz w:val="24"/>
          <w:lang w:eastAsia="zh-CN"/>
        </w:rPr>
        <w:t>经纪人</w:t>
      </w:r>
      <w:r>
        <w:rPr>
          <w:rFonts w:hAnsi="宋体"/>
          <w:snapToGrid w:val="0"/>
          <w:kern w:val="0"/>
          <w:sz w:val="24"/>
        </w:rPr>
        <w:t>违规行为处理</w:t>
      </w:r>
      <w:r>
        <w:rPr>
          <w:rFonts w:hint="eastAsia" w:hAnsi="宋体"/>
          <w:snapToGrid w:val="0"/>
          <w:kern w:val="0"/>
          <w:sz w:val="24"/>
        </w:rPr>
        <w:t>管理规定</w:t>
      </w:r>
      <w:r>
        <w:rPr>
          <w:rFonts w:hAnsi="宋体"/>
          <w:snapToGrid w:val="0"/>
          <w:kern w:val="0"/>
          <w:sz w:val="24"/>
        </w:rPr>
        <w:t>》</w:t>
      </w:r>
      <w:r>
        <w:rPr>
          <w:rFonts w:hint="eastAsia" w:hAnsi="宋体"/>
          <w:snapToGrid w:val="0"/>
          <w:kern w:val="0"/>
          <w:sz w:val="24"/>
        </w:rPr>
        <w:t>、《案防防控责任书》</w:t>
      </w:r>
      <w:r>
        <w:rPr>
          <w:rFonts w:hAnsi="宋体"/>
          <w:snapToGrid w:val="0"/>
          <w:kern w:val="0"/>
          <w:sz w:val="24"/>
        </w:rPr>
        <w:t>对违反案件防控制度的机构和个人进行经济处罚及行政处分建议；构成犯罪的，依照有关规定，移交司法部门追究刑事责任。</w:t>
      </w:r>
      <w:r>
        <w:rPr>
          <w:snapToGrid w:val="0"/>
          <w:kern w:val="0"/>
          <w:sz w:val="24"/>
        </w:rPr>
        <w:t> </w:t>
      </w:r>
    </w:p>
    <w:p w14:paraId="0C585301">
      <w:pPr>
        <w:widowControl/>
        <w:spacing w:line="520" w:lineRule="exact"/>
        <w:jc w:val="left"/>
        <w:rPr>
          <w:snapToGrid w:val="0"/>
          <w:kern w:val="0"/>
          <w:sz w:val="24"/>
        </w:rPr>
      </w:pPr>
      <w:r>
        <w:rPr>
          <w:rFonts w:hint="eastAsia"/>
          <w:bCs/>
          <w:snapToGrid w:val="0"/>
          <w:kern w:val="0"/>
          <w:sz w:val="24"/>
          <w:lang w:val="en-US" w:eastAsia="zh-CN"/>
        </w:rPr>
        <w:t>6</w:t>
      </w:r>
      <w:r>
        <w:rPr>
          <w:bCs/>
          <w:snapToGrid w:val="0"/>
          <w:kern w:val="0"/>
          <w:sz w:val="24"/>
        </w:rPr>
        <w:t xml:space="preserve">.6  </w:t>
      </w:r>
      <w:r>
        <w:rPr>
          <w:rFonts w:hAnsi="宋体"/>
          <w:snapToGrid w:val="0"/>
          <w:kern w:val="0"/>
          <w:sz w:val="24"/>
        </w:rPr>
        <w:t>案件防控</w:t>
      </w:r>
      <w:r>
        <w:rPr>
          <w:rFonts w:hAnsi="宋体"/>
          <w:bCs/>
          <w:snapToGrid w:val="0"/>
          <w:kern w:val="0"/>
          <w:sz w:val="24"/>
        </w:rPr>
        <w:t>尽职免责</w:t>
      </w:r>
    </w:p>
    <w:p w14:paraId="3E38008D">
      <w:pPr>
        <w:widowControl/>
        <w:spacing w:line="520" w:lineRule="exact"/>
        <w:jc w:val="left"/>
        <w:rPr>
          <w:snapToGrid w:val="0"/>
          <w:kern w:val="0"/>
          <w:sz w:val="24"/>
        </w:rPr>
      </w:pPr>
      <w:r>
        <w:rPr>
          <w:rFonts w:hAnsi="宋体"/>
          <w:snapToGrid w:val="0"/>
          <w:kern w:val="0"/>
          <w:sz w:val="24"/>
        </w:rPr>
        <w:t>对案件负有责任，但存在以下情况之一的，可酌情减轻或免于处理：</w:t>
      </w:r>
    </w:p>
    <w:p w14:paraId="4C206D86">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.6.1  </w:t>
      </w:r>
      <w:r>
        <w:rPr>
          <w:rFonts w:hAnsi="宋体"/>
          <w:snapToGrid w:val="0"/>
          <w:kern w:val="0"/>
          <w:sz w:val="24"/>
        </w:rPr>
        <w:t>案发前按照案件防</w:t>
      </w:r>
      <w:r>
        <w:rPr>
          <w:rFonts w:hint="eastAsia" w:hAnsi="宋体"/>
          <w:snapToGrid w:val="0"/>
          <w:kern w:val="0"/>
          <w:sz w:val="24"/>
        </w:rPr>
        <w:t>控</w:t>
      </w:r>
      <w:r>
        <w:rPr>
          <w:rFonts w:hAnsi="宋体"/>
          <w:snapToGrid w:val="0"/>
          <w:kern w:val="0"/>
          <w:sz w:val="24"/>
        </w:rPr>
        <w:t>工作制度规定认真履职，尽职尽责，无疏于职守表现的；</w:t>
      </w:r>
    </w:p>
    <w:p w14:paraId="3F55E50D">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.6.2  </w:t>
      </w:r>
      <w:r>
        <w:rPr>
          <w:rFonts w:hAnsi="宋体"/>
          <w:snapToGrid w:val="0"/>
          <w:kern w:val="0"/>
          <w:sz w:val="24"/>
        </w:rPr>
        <w:t>通过主动工作发现案件，控制作案嫌疑人及其他有关责任人，并及时向本</w:t>
      </w:r>
      <w:r>
        <w:rPr>
          <w:rFonts w:hint="eastAsia" w:hAnsi="宋体"/>
          <w:snapToGrid w:val="0"/>
          <w:kern w:val="0"/>
          <w:sz w:val="24"/>
          <w:lang w:val="en-US" w:eastAsia="zh-CN"/>
        </w:rPr>
        <w:t>级机构</w:t>
      </w:r>
      <w:r>
        <w:rPr>
          <w:rFonts w:hAnsi="宋体"/>
          <w:snapToGrid w:val="0"/>
          <w:kern w:val="0"/>
          <w:sz w:val="24"/>
        </w:rPr>
        <w:t>负责人和上级行报告的；</w:t>
      </w:r>
    </w:p>
    <w:p w14:paraId="5D19254C">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.6.3  </w:t>
      </w:r>
      <w:r>
        <w:rPr>
          <w:rFonts w:hAnsi="宋体"/>
          <w:snapToGrid w:val="0"/>
          <w:kern w:val="0"/>
          <w:sz w:val="24"/>
        </w:rPr>
        <w:t>在案件查处工作中措施得力，与司法机关密切沟通配合，使案件得以迅速侦破，具有立功表现的；</w:t>
      </w:r>
    </w:p>
    <w:p w14:paraId="2A976BFE">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.6.4  </w:t>
      </w:r>
      <w:r>
        <w:rPr>
          <w:rFonts w:hAnsi="宋体"/>
          <w:snapToGrid w:val="0"/>
          <w:kern w:val="0"/>
          <w:sz w:val="24"/>
        </w:rPr>
        <w:t>案件发生后，账务核查迅速，追缴涉案资金措施有力，避免全部经济损失的；</w:t>
      </w:r>
    </w:p>
    <w:p w14:paraId="53138A45">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.6.5  </w:t>
      </w:r>
      <w:r>
        <w:rPr>
          <w:rFonts w:hAnsi="宋体"/>
          <w:snapToGrid w:val="0"/>
          <w:kern w:val="0"/>
          <w:sz w:val="24"/>
        </w:rPr>
        <w:t>导致案件发生的直接原因是制度、系统缺陷或其他不可抗力的；</w:t>
      </w:r>
    </w:p>
    <w:p w14:paraId="536386D9">
      <w:pPr>
        <w:widowControl/>
        <w:spacing w:line="520" w:lineRule="exact"/>
        <w:jc w:val="left"/>
        <w:rPr>
          <w:snapToGrid w:val="0"/>
          <w:kern w:val="0"/>
          <w:sz w:val="24"/>
        </w:rPr>
      </w:pPr>
      <w:r>
        <w:rPr>
          <w:rFonts w:hint="eastAsia"/>
          <w:snapToGrid w:val="0"/>
          <w:kern w:val="0"/>
          <w:sz w:val="24"/>
          <w:lang w:val="en-US" w:eastAsia="zh-CN"/>
        </w:rPr>
        <w:t>6</w:t>
      </w:r>
      <w:r>
        <w:rPr>
          <w:snapToGrid w:val="0"/>
          <w:kern w:val="0"/>
          <w:sz w:val="24"/>
        </w:rPr>
        <w:t xml:space="preserve">.6.6  </w:t>
      </w:r>
      <w:r>
        <w:rPr>
          <w:rFonts w:hAnsi="宋体"/>
          <w:snapToGrid w:val="0"/>
          <w:kern w:val="0"/>
          <w:sz w:val="24"/>
        </w:rPr>
        <w:t>案发机构或部门负责人任职不足六个月，且到职后认真履职的；</w:t>
      </w:r>
    </w:p>
    <w:p w14:paraId="55E2B2FE">
      <w:pPr>
        <w:widowControl/>
        <w:spacing w:line="520" w:lineRule="exact"/>
        <w:jc w:val="left"/>
        <w:rPr>
          <w:rFonts w:hint="eastAsia" w:hAnsi="宋体"/>
          <w:snapToGrid w:val="0"/>
          <w:kern w:val="0"/>
          <w:sz w:val="24"/>
        </w:rPr>
      </w:pPr>
      <w:r>
        <w:rPr>
          <w:rFonts w:hint="eastAsia"/>
          <w:snapToGrid w:val="0"/>
          <w:kern w:val="0"/>
          <w:sz w:val="24"/>
          <w:lang w:val="en-US" w:eastAsia="zh-CN"/>
        </w:rPr>
        <w:t>6</w:t>
      </w:r>
      <w:r>
        <w:rPr>
          <w:snapToGrid w:val="0"/>
          <w:kern w:val="0"/>
          <w:sz w:val="24"/>
        </w:rPr>
        <w:t xml:space="preserve">.6.7  </w:t>
      </w:r>
      <w:r>
        <w:rPr>
          <w:rFonts w:hAnsi="宋体"/>
          <w:snapToGrid w:val="0"/>
          <w:kern w:val="0"/>
          <w:sz w:val="24"/>
        </w:rPr>
        <w:t>有其他立功表现的。</w:t>
      </w:r>
    </w:p>
    <w:p w14:paraId="464DB53C">
      <w:pPr>
        <w:widowControl/>
        <w:spacing w:line="520" w:lineRule="exact"/>
        <w:jc w:val="left"/>
        <w:rPr>
          <w:snapToGrid w:val="0"/>
          <w:kern w:val="0"/>
          <w:sz w:val="24"/>
        </w:rPr>
      </w:pPr>
      <w:r>
        <w:rPr>
          <w:rFonts w:hint="eastAsia"/>
          <w:bCs/>
          <w:snapToGrid w:val="0"/>
          <w:kern w:val="0"/>
          <w:sz w:val="24"/>
          <w:lang w:val="en-US" w:eastAsia="zh-CN"/>
        </w:rPr>
        <w:t>6</w:t>
      </w:r>
      <w:r>
        <w:rPr>
          <w:bCs/>
          <w:snapToGrid w:val="0"/>
          <w:kern w:val="0"/>
          <w:sz w:val="24"/>
        </w:rPr>
        <w:t>.7</w:t>
      </w:r>
      <w:r>
        <w:rPr>
          <w:snapToGrid w:val="0"/>
          <w:kern w:val="0"/>
          <w:sz w:val="24"/>
        </w:rPr>
        <w:t xml:space="preserve">  </w:t>
      </w:r>
      <w:r>
        <w:rPr>
          <w:rFonts w:hAnsi="宋体"/>
          <w:snapToGrid w:val="0"/>
          <w:kern w:val="0"/>
          <w:sz w:val="24"/>
        </w:rPr>
        <w:t>附则</w:t>
      </w:r>
    </w:p>
    <w:p w14:paraId="6F7FBCEC">
      <w:pPr>
        <w:widowControl/>
        <w:spacing w:line="520" w:lineRule="exact"/>
        <w:jc w:val="left"/>
        <w:rPr>
          <w:snapToGrid w:val="0"/>
          <w:kern w:val="0"/>
          <w:sz w:val="24"/>
        </w:rPr>
      </w:pPr>
      <w:r>
        <w:rPr>
          <w:rFonts w:hAnsi="宋体"/>
          <w:snapToGrid w:val="0"/>
          <w:kern w:val="0"/>
          <w:sz w:val="24"/>
        </w:rPr>
        <w:t>对抵制、检举重大违规违纪行为和为堵截案件做出突出贡献的</w:t>
      </w:r>
      <w:r>
        <w:rPr>
          <w:rFonts w:hint="eastAsia" w:hAnsi="宋体"/>
          <w:snapToGrid w:val="0"/>
          <w:kern w:val="0"/>
          <w:sz w:val="24"/>
          <w:lang w:eastAsia="zh-CN"/>
        </w:rPr>
        <w:t>经纪人</w:t>
      </w:r>
      <w:r>
        <w:rPr>
          <w:rFonts w:hAnsi="宋体"/>
          <w:snapToGrid w:val="0"/>
          <w:kern w:val="0"/>
          <w:sz w:val="24"/>
        </w:rPr>
        <w:t>，要按照</w:t>
      </w:r>
      <w:r>
        <w:rPr>
          <w:rFonts w:hint="eastAsia" w:hAnsi="宋体"/>
          <w:snapToGrid w:val="0"/>
          <w:kern w:val="0"/>
          <w:sz w:val="24"/>
        </w:rPr>
        <w:t>《违法违规问题举报管理规定》</w:t>
      </w:r>
      <w:r>
        <w:rPr>
          <w:rFonts w:hAnsi="宋体"/>
          <w:snapToGrid w:val="0"/>
          <w:kern w:val="0"/>
          <w:sz w:val="24"/>
        </w:rPr>
        <w:t>给予奖励。</w:t>
      </w:r>
    </w:p>
    <w:p w14:paraId="7117002B">
      <w:pPr>
        <w:spacing w:line="520" w:lineRule="exact"/>
        <w:jc w:val="left"/>
        <w:rPr>
          <w:rFonts w:eastAsia="黑体"/>
          <w:snapToGrid w:val="0"/>
          <w:kern w:val="0"/>
          <w:sz w:val="24"/>
          <w:lang w:val="zh-CN"/>
        </w:rPr>
      </w:pPr>
      <w:r>
        <w:rPr>
          <w:rFonts w:hint="eastAsia"/>
          <w:b/>
          <w:snapToGrid w:val="0"/>
          <w:kern w:val="0"/>
          <w:sz w:val="24"/>
          <w:lang w:val="en-US" w:eastAsia="zh-CN"/>
        </w:rPr>
        <w:t>7</w:t>
      </w:r>
      <w:r>
        <w:rPr>
          <w:b/>
          <w:snapToGrid w:val="0"/>
          <w:kern w:val="0"/>
          <w:sz w:val="24"/>
          <w:lang w:val="zh-CN"/>
        </w:rPr>
        <w:t xml:space="preserve">  </w:t>
      </w:r>
      <w:r>
        <w:rPr>
          <w:rFonts w:eastAsia="黑体"/>
          <w:snapToGrid w:val="0"/>
          <w:kern w:val="0"/>
          <w:sz w:val="24"/>
          <w:lang w:val="zh-CN"/>
        </w:rPr>
        <w:t>检查与监督</w:t>
      </w:r>
    </w:p>
    <w:p w14:paraId="12694DAF">
      <w:pPr>
        <w:spacing w:line="520" w:lineRule="exact"/>
        <w:jc w:val="left"/>
        <w:rPr>
          <w:snapToGrid w:val="0"/>
          <w:kern w:val="0"/>
          <w:sz w:val="24"/>
        </w:rPr>
      </w:pPr>
      <w:r>
        <w:rPr>
          <w:rFonts w:hint="eastAsia"/>
          <w:snapToGrid w:val="0"/>
          <w:kern w:val="0"/>
          <w:sz w:val="24"/>
          <w:lang w:val="en-US" w:eastAsia="zh-CN"/>
        </w:rPr>
        <w:t>7</w:t>
      </w:r>
      <w:r>
        <w:rPr>
          <w:snapToGrid w:val="0"/>
          <w:kern w:val="0"/>
          <w:sz w:val="24"/>
        </w:rPr>
        <w:t xml:space="preserve">.1  </w:t>
      </w:r>
      <w:r>
        <w:rPr>
          <w:rFonts w:hint="eastAsia" w:hAnsi="宋体"/>
          <w:snapToGrid w:val="0"/>
          <w:kern w:val="0"/>
          <w:sz w:val="24"/>
        </w:rPr>
        <w:t>合规管理部门</w:t>
      </w:r>
      <w:r>
        <w:rPr>
          <w:rFonts w:hAnsi="宋体"/>
          <w:snapToGrid w:val="0"/>
          <w:kern w:val="0"/>
          <w:sz w:val="24"/>
        </w:rPr>
        <w:t>负责对本文件的可操作性、适宜性进行日常监督与检查，必要时对文件进行更改，确保文件适用，具体执行《文件控制程序》。</w:t>
      </w:r>
    </w:p>
    <w:p w14:paraId="00DAF5A7">
      <w:pPr>
        <w:spacing w:line="520" w:lineRule="exact"/>
        <w:jc w:val="left"/>
        <w:rPr>
          <w:snapToGrid w:val="0"/>
          <w:kern w:val="0"/>
          <w:sz w:val="24"/>
        </w:rPr>
      </w:pPr>
      <w:r>
        <w:rPr>
          <w:rFonts w:hint="eastAsia"/>
          <w:snapToGrid w:val="0"/>
          <w:kern w:val="0"/>
          <w:sz w:val="24"/>
          <w:lang w:val="en-US" w:eastAsia="zh-CN"/>
        </w:rPr>
        <w:t>7</w:t>
      </w:r>
      <w:r>
        <w:rPr>
          <w:snapToGrid w:val="0"/>
          <w:kern w:val="0"/>
          <w:sz w:val="24"/>
        </w:rPr>
        <w:t xml:space="preserve">.2  </w:t>
      </w:r>
      <w:r>
        <w:rPr>
          <w:rFonts w:hAnsi="宋体"/>
          <w:snapToGrid w:val="0"/>
          <w:kern w:val="0"/>
          <w:sz w:val="24"/>
        </w:rPr>
        <w:t>审计部</w:t>
      </w:r>
      <w:r>
        <w:rPr>
          <w:rFonts w:hint="eastAsia" w:hAnsi="宋体"/>
          <w:snapToGrid w:val="0"/>
          <w:kern w:val="0"/>
          <w:sz w:val="24"/>
        </w:rPr>
        <w:t>门</w:t>
      </w:r>
      <w:r>
        <w:rPr>
          <w:rFonts w:hAnsi="宋体"/>
          <w:snapToGrid w:val="0"/>
          <w:kern w:val="0"/>
          <w:sz w:val="24"/>
        </w:rPr>
        <w:t>对</w:t>
      </w:r>
      <w:r>
        <w:rPr>
          <w:rFonts w:hint="eastAsia" w:hAnsi="宋体"/>
          <w:snapToGrid w:val="0"/>
          <w:kern w:val="0"/>
          <w:sz w:val="24"/>
        </w:rPr>
        <w:t>本</w:t>
      </w:r>
      <w:r>
        <w:rPr>
          <w:rFonts w:hAnsi="宋体"/>
          <w:snapToGrid w:val="0"/>
          <w:kern w:val="0"/>
          <w:sz w:val="24"/>
        </w:rPr>
        <w:t>文件的执行情况，相关登记簿登记的完整性等进行集中检查、督促整改。</w:t>
      </w:r>
    </w:p>
    <w:p w14:paraId="3E35E93E">
      <w:r>
        <w:rPr>
          <w:rFonts w:hint="eastAsia"/>
          <w:snapToGrid w:val="0"/>
          <w:kern w:val="0"/>
          <w:sz w:val="24"/>
          <w:lang w:val="en-US" w:eastAsia="zh-CN"/>
        </w:rPr>
        <w:t>7</w:t>
      </w:r>
      <w:r>
        <w:rPr>
          <w:snapToGrid w:val="0"/>
          <w:kern w:val="0"/>
          <w:sz w:val="24"/>
        </w:rPr>
        <w:t xml:space="preserve">.3  </w:t>
      </w:r>
      <w:r>
        <w:rPr>
          <w:rFonts w:hint="eastAsia" w:hAnsi="宋体"/>
          <w:snapToGrid w:val="0"/>
          <w:kern w:val="0"/>
          <w:sz w:val="24"/>
        </w:rPr>
        <w:t>合规管理</w:t>
      </w:r>
      <w:r>
        <w:rPr>
          <w:rFonts w:hAnsi="宋体"/>
          <w:snapToGrid w:val="0"/>
          <w:kern w:val="0"/>
          <w:sz w:val="24"/>
        </w:rPr>
        <w:t>部</w:t>
      </w:r>
      <w:r>
        <w:rPr>
          <w:rFonts w:hint="eastAsia" w:hAnsi="宋体"/>
          <w:snapToGrid w:val="0"/>
          <w:kern w:val="0"/>
          <w:sz w:val="24"/>
        </w:rPr>
        <w:t>门</w:t>
      </w:r>
      <w:r>
        <w:rPr>
          <w:rFonts w:hAnsi="宋体"/>
          <w:snapToGrid w:val="0"/>
          <w:kern w:val="0"/>
          <w:sz w:val="24"/>
        </w:rPr>
        <w:t>负责每年一次对</w:t>
      </w:r>
      <w:r>
        <w:rPr>
          <w:rFonts w:hint="eastAsia" w:hAnsi="宋体"/>
          <w:snapToGrid w:val="0"/>
          <w:kern w:val="0"/>
          <w:sz w:val="24"/>
        </w:rPr>
        <w:t>本</w:t>
      </w:r>
      <w:r>
        <w:rPr>
          <w:rFonts w:hAnsi="宋体"/>
          <w:snapToGrid w:val="0"/>
          <w:kern w:val="0"/>
          <w:sz w:val="24"/>
        </w:rPr>
        <w:t>规章制度的合规性进行审查，并督促</w:t>
      </w:r>
    </w:p>
    <w:sectPr>
      <w:headerReference r:id="rId3" w:type="default"/>
      <w:footerReference r:id="rId4" w:type="default"/>
      <w:footerReference r:id="rId5"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73564">
    <w:pPr>
      <w:pStyle w:val="7"/>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3</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4</w:t>
    </w:r>
    <w:r>
      <w:rPr>
        <w:b/>
        <w:bCs/>
        <w:sz w:val="24"/>
        <w:szCs w:val="24"/>
      </w:rPr>
      <w:fldChar w:fldCharType="end"/>
    </w:r>
  </w:p>
  <w:p w14:paraId="39B40D39">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9E6F56">
    <w:pPr>
      <w:pStyle w:val="7"/>
      <w:framePr w:wrap="around" w:vAnchor="text" w:hAnchor="margin" w:xAlign="center" w:y="1"/>
      <w:rPr>
        <w:rStyle w:val="14"/>
      </w:rPr>
    </w:pPr>
    <w:r>
      <w:rPr>
        <w:rStyle w:val="14"/>
      </w:rPr>
      <w:fldChar w:fldCharType="begin"/>
    </w:r>
    <w:r>
      <w:rPr>
        <w:rStyle w:val="14"/>
      </w:rPr>
      <w:instrText xml:space="preserve">PAGE  </w:instrText>
    </w:r>
    <w:r>
      <w:rPr>
        <w:rStyle w:val="14"/>
      </w:rPr>
      <w:fldChar w:fldCharType="end"/>
    </w:r>
  </w:p>
  <w:p w14:paraId="57219A9D">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12"/>
      <w:tblW w:w="9279"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80"/>
      <w:gridCol w:w="4044"/>
      <w:gridCol w:w="2555"/>
    </w:tblGrid>
    <w:tr w14:paraId="29C9BE9A">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2680" w:type="dxa"/>
          <w:vAlign w:val="center"/>
        </w:tcPr>
        <w:p w14:paraId="695093DB">
          <w:pPr>
            <w:rPr>
              <w:sz w:val="13"/>
            </w:rPr>
          </w:pPr>
          <w:r>
            <w:rPr>
              <w:rFonts w:ascii="仿宋_GB2312" w:hAnsi="Times New Roman" w:eastAsia="仿宋_GB2312" w:cs="Times New Roman"/>
              <w:kern w:val="2"/>
              <w:sz w:val="28"/>
              <w:szCs w:val="28"/>
              <w:lang w:val="en-US" w:eastAsia="zh-CN" w:bidi="ar-SA"/>
            </w:rPr>
            <w:drawing>
              <wp:inline distT="0" distB="0" distL="114300" distR="114300">
                <wp:extent cx="1564640" cy="546735"/>
                <wp:effectExtent l="0" t="0" r="10160" b="1206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lum/>
                        </a:blip>
                        <a:stretch>
                          <a:fillRect/>
                        </a:stretch>
                      </pic:blipFill>
                      <pic:spPr>
                        <a:xfrm>
                          <a:off x="0" y="0"/>
                          <a:ext cx="1564640" cy="546735"/>
                        </a:xfrm>
                        <a:prstGeom prst="rect">
                          <a:avLst/>
                        </a:prstGeom>
                        <a:noFill/>
                        <a:ln>
                          <a:noFill/>
                        </a:ln>
                      </pic:spPr>
                    </pic:pic>
                  </a:graphicData>
                </a:graphic>
              </wp:inline>
            </w:drawing>
          </w:r>
        </w:p>
      </w:tc>
      <w:tc>
        <w:tcPr>
          <w:tcW w:w="4044" w:type="dxa"/>
          <w:vAlign w:val="center"/>
        </w:tcPr>
        <w:p w14:paraId="7C4B57D6">
          <w:pPr>
            <w:jc w:val="center"/>
            <w:rPr>
              <w:rFonts w:hint="eastAsia" w:ascii="黑体" w:hAnsi="黑体" w:eastAsia="黑体" w:cs="黑体"/>
              <w:b/>
              <w:bCs/>
              <w:sz w:val="28"/>
              <w:szCs w:val="32"/>
            </w:rPr>
          </w:pPr>
          <w:r>
            <w:rPr>
              <w:rFonts w:hint="eastAsia" w:ascii="黑体" w:hAnsi="黑体" w:eastAsia="黑体" w:cs="黑体"/>
              <w:b/>
              <w:bCs/>
              <w:sz w:val="28"/>
              <w:szCs w:val="32"/>
            </w:rPr>
            <w:t>东方大地保险经纪有限公司</w:t>
          </w:r>
        </w:p>
        <w:p w14:paraId="545A2355">
          <w:pPr>
            <w:jc w:val="center"/>
            <w:rPr>
              <w:rFonts w:ascii="黑体" w:hAnsi="黑体" w:eastAsia="黑体"/>
              <w:b/>
            </w:rPr>
          </w:pPr>
          <w:r>
            <w:rPr>
              <w:rFonts w:hint="eastAsia" w:ascii="黑体" w:hAnsi="黑体" w:eastAsia="黑体" w:cs="黑体"/>
              <w:b/>
              <w:bCs/>
              <w:sz w:val="28"/>
              <w:szCs w:val="32"/>
            </w:rPr>
            <w:t>案件防控管理规定</w:t>
          </w:r>
        </w:p>
      </w:tc>
      <w:tc>
        <w:tcPr>
          <w:tcW w:w="2555" w:type="dxa"/>
          <w:vAlign w:val="center"/>
        </w:tcPr>
        <w:p w14:paraId="40D1C9D1">
          <w:pPr>
            <w:rPr>
              <w:rFonts w:ascii="黑体" w:hAnsi="黑体" w:eastAsia="黑体"/>
              <w:sz w:val="21"/>
              <w:szCs w:val="21"/>
            </w:rPr>
          </w:pPr>
          <w:r>
            <w:rPr>
              <w:rFonts w:hint="eastAsia" w:ascii="黑体" w:hAnsi="黑体" w:eastAsia="黑体"/>
              <w:sz w:val="21"/>
              <w:szCs w:val="21"/>
            </w:rPr>
            <w:t>编号：</w:t>
          </w:r>
          <w:r>
            <w:rPr>
              <w:rFonts w:ascii="黑体" w:hAnsi="黑体" w:eastAsia="黑体"/>
              <w:sz w:val="21"/>
              <w:szCs w:val="21"/>
            </w:rPr>
            <w:t>DFDD-ZD-AJ01</w:t>
          </w:r>
        </w:p>
        <w:p w14:paraId="0D6F49CB">
          <w:pPr>
            <w:rPr>
              <w:rFonts w:ascii="黑体" w:hAnsi="黑体" w:eastAsia="黑体"/>
              <w:color w:val="000000"/>
              <w:sz w:val="21"/>
              <w:szCs w:val="21"/>
            </w:rPr>
          </w:pPr>
          <w:r>
            <w:rPr>
              <w:rFonts w:hint="eastAsia" w:ascii="黑体" w:hAnsi="黑体" w:eastAsia="黑体"/>
              <w:sz w:val="21"/>
              <w:szCs w:val="21"/>
            </w:rPr>
            <w:t>版号：1</w:t>
          </w:r>
          <w:r>
            <w:rPr>
              <w:rFonts w:ascii="黑体" w:hAnsi="黑体" w:eastAsia="黑体"/>
              <w:sz w:val="21"/>
              <w:szCs w:val="21"/>
            </w:rPr>
            <w:t>8A</w:t>
          </w:r>
          <w:r>
            <w:rPr>
              <w:rFonts w:hint="eastAsia" w:ascii="黑体" w:hAnsi="黑体" w:eastAsia="黑体"/>
              <w:sz w:val="21"/>
              <w:szCs w:val="21"/>
            </w:rPr>
            <w:t>/</w:t>
          </w:r>
          <w:r>
            <w:rPr>
              <w:rFonts w:ascii="黑体" w:hAnsi="黑体" w:eastAsia="黑体"/>
              <w:sz w:val="21"/>
              <w:szCs w:val="21"/>
            </w:rPr>
            <w:t>0</w:t>
          </w:r>
        </w:p>
        <w:p w14:paraId="266AC674">
          <w:pPr>
            <w:rPr>
              <w:sz w:val="24"/>
            </w:rPr>
          </w:pPr>
          <w:r>
            <w:rPr>
              <w:rFonts w:hint="eastAsia" w:ascii="黑体" w:hAnsi="黑体" w:eastAsia="黑体"/>
              <w:sz w:val="21"/>
              <w:szCs w:val="21"/>
            </w:rPr>
            <w:t>页码：</w:t>
          </w:r>
          <w:r>
            <w:rPr>
              <w:rFonts w:hint="eastAsia" w:ascii="黑体" w:hAnsi="黑体" w:eastAsia="黑体"/>
              <w:kern w:val="0"/>
              <w:sz w:val="21"/>
              <w:szCs w:val="21"/>
            </w:rPr>
            <w:t xml:space="preserve">第 </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3</w:t>
          </w:r>
          <w:r>
            <w:rPr>
              <w:rFonts w:ascii="黑体" w:hAnsi="黑体" w:eastAsia="黑体"/>
              <w:kern w:val="0"/>
              <w:sz w:val="21"/>
              <w:szCs w:val="21"/>
            </w:rPr>
            <w:fldChar w:fldCharType="end"/>
          </w:r>
          <w:r>
            <w:rPr>
              <w:rFonts w:hint="eastAsia" w:ascii="黑体" w:hAnsi="黑体" w:eastAsia="黑体"/>
              <w:kern w:val="0"/>
              <w:sz w:val="21"/>
              <w:szCs w:val="21"/>
            </w:rPr>
            <w:t xml:space="preserve"> 页 共</w:t>
          </w:r>
          <w:r>
            <w:rPr>
              <w:rFonts w:hint="default" w:ascii="黑体" w:hAnsi="黑体" w:eastAsia="黑体"/>
              <w:kern w:val="0"/>
              <w:sz w:val="21"/>
              <w:szCs w:val="21"/>
            </w:rPr>
            <w:t>6</w:t>
          </w:r>
          <w:r>
            <w:rPr>
              <w:rFonts w:hint="eastAsia" w:ascii="黑体" w:hAnsi="黑体" w:eastAsia="黑体"/>
              <w:kern w:val="0"/>
              <w:sz w:val="21"/>
              <w:szCs w:val="21"/>
            </w:rPr>
            <w:t>页</w:t>
          </w:r>
        </w:p>
      </w:tc>
    </w:tr>
  </w:tbl>
  <w:p w14:paraId="0499574F">
    <w:pPr>
      <w:pStyle w:val="8"/>
      <w:pBdr>
        <w:bottom w:val="none" w:color="auto" w:sz="0" w:space="0"/>
      </w:pBdr>
      <w:tabs>
        <w:tab w:val="left" w:pos="4200"/>
        <w:tab w:val="left" w:pos="4620"/>
        <w:tab w:val="left" w:pos="5040"/>
        <w:tab w:val="left" w:pos="5460"/>
        <w:tab w:val="clear" w:pos="8306"/>
      </w:tabs>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128"/>
    <w:rsid w:val="00004F16"/>
    <w:rsid w:val="00033C52"/>
    <w:rsid w:val="00035432"/>
    <w:rsid w:val="00064494"/>
    <w:rsid w:val="0007438B"/>
    <w:rsid w:val="00076118"/>
    <w:rsid w:val="000904C5"/>
    <w:rsid w:val="000B422E"/>
    <w:rsid w:val="000C7166"/>
    <w:rsid w:val="000E5752"/>
    <w:rsid w:val="000E7C57"/>
    <w:rsid w:val="000F491E"/>
    <w:rsid w:val="000F64BF"/>
    <w:rsid w:val="00116DCC"/>
    <w:rsid w:val="00126DFD"/>
    <w:rsid w:val="0015122A"/>
    <w:rsid w:val="00161C32"/>
    <w:rsid w:val="001909EE"/>
    <w:rsid w:val="001A2C54"/>
    <w:rsid w:val="001B0D01"/>
    <w:rsid w:val="001B1775"/>
    <w:rsid w:val="001E26C7"/>
    <w:rsid w:val="001E33FE"/>
    <w:rsid w:val="001E72B7"/>
    <w:rsid w:val="001E77E3"/>
    <w:rsid w:val="001F011F"/>
    <w:rsid w:val="002230EB"/>
    <w:rsid w:val="00257077"/>
    <w:rsid w:val="0026697B"/>
    <w:rsid w:val="00277BB7"/>
    <w:rsid w:val="00297E3A"/>
    <w:rsid w:val="002A6626"/>
    <w:rsid w:val="002E2A4C"/>
    <w:rsid w:val="002E4B96"/>
    <w:rsid w:val="002E5DFD"/>
    <w:rsid w:val="00300BA5"/>
    <w:rsid w:val="00300D93"/>
    <w:rsid w:val="003135FC"/>
    <w:rsid w:val="00352D32"/>
    <w:rsid w:val="00364A00"/>
    <w:rsid w:val="00371722"/>
    <w:rsid w:val="00372755"/>
    <w:rsid w:val="0038552B"/>
    <w:rsid w:val="003A5A5B"/>
    <w:rsid w:val="003B3B00"/>
    <w:rsid w:val="00415406"/>
    <w:rsid w:val="00426563"/>
    <w:rsid w:val="00442E00"/>
    <w:rsid w:val="004619A9"/>
    <w:rsid w:val="00472A68"/>
    <w:rsid w:val="004815C3"/>
    <w:rsid w:val="004A5161"/>
    <w:rsid w:val="004B6CC4"/>
    <w:rsid w:val="004D436B"/>
    <w:rsid w:val="004D632B"/>
    <w:rsid w:val="00511187"/>
    <w:rsid w:val="00526719"/>
    <w:rsid w:val="005367EF"/>
    <w:rsid w:val="00536D2D"/>
    <w:rsid w:val="00545906"/>
    <w:rsid w:val="005522F1"/>
    <w:rsid w:val="005A3CCD"/>
    <w:rsid w:val="005A6C55"/>
    <w:rsid w:val="005F20CD"/>
    <w:rsid w:val="0061651B"/>
    <w:rsid w:val="00641986"/>
    <w:rsid w:val="00641E65"/>
    <w:rsid w:val="006750C2"/>
    <w:rsid w:val="0069703B"/>
    <w:rsid w:val="00697412"/>
    <w:rsid w:val="006B2D98"/>
    <w:rsid w:val="006B4718"/>
    <w:rsid w:val="006C399D"/>
    <w:rsid w:val="006D03D3"/>
    <w:rsid w:val="006D213B"/>
    <w:rsid w:val="006D4EB2"/>
    <w:rsid w:val="006E3737"/>
    <w:rsid w:val="00742A6E"/>
    <w:rsid w:val="00751ADF"/>
    <w:rsid w:val="00751E5F"/>
    <w:rsid w:val="007850F1"/>
    <w:rsid w:val="00792FFC"/>
    <w:rsid w:val="00794E9D"/>
    <w:rsid w:val="007A3B0E"/>
    <w:rsid w:val="007A7CC1"/>
    <w:rsid w:val="007C0860"/>
    <w:rsid w:val="007D1B25"/>
    <w:rsid w:val="007F185C"/>
    <w:rsid w:val="007F2902"/>
    <w:rsid w:val="00805CBB"/>
    <w:rsid w:val="00826C6E"/>
    <w:rsid w:val="0082708A"/>
    <w:rsid w:val="0083350D"/>
    <w:rsid w:val="00836900"/>
    <w:rsid w:val="008448C0"/>
    <w:rsid w:val="00851938"/>
    <w:rsid w:val="008834D1"/>
    <w:rsid w:val="00890527"/>
    <w:rsid w:val="0089409F"/>
    <w:rsid w:val="00895072"/>
    <w:rsid w:val="008D14FA"/>
    <w:rsid w:val="00906476"/>
    <w:rsid w:val="00907D3F"/>
    <w:rsid w:val="00910E00"/>
    <w:rsid w:val="00913BCD"/>
    <w:rsid w:val="009247B6"/>
    <w:rsid w:val="009536CA"/>
    <w:rsid w:val="00955CF7"/>
    <w:rsid w:val="009824FF"/>
    <w:rsid w:val="00984F8E"/>
    <w:rsid w:val="009D3903"/>
    <w:rsid w:val="009E5786"/>
    <w:rsid w:val="009E66F7"/>
    <w:rsid w:val="009F4CB2"/>
    <w:rsid w:val="00A132E8"/>
    <w:rsid w:val="00A21B77"/>
    <w:rsid w:val="00A238A1"/>
    <w:rsid w:val="00A37080"/>
    <w:rsid w:val="00A429BA"/>
    <w:rsid w:val="00A53ED0"/>
    <w:rsid w:val="00A752D6"/>
    <w:rsid w:val="00AD44C9"/>
    <w:rsid w:val="00AE7E12"/>
    <w:rsid w:val="00AF55A0"/>
    <w:rsid w:val="00B12811"/>
    <w:rsid w:val="00B15F44"/>
    <w:rsid w:val="00B16819"/>
    <w:rsid w:val="00B375C4"/>
    <w:rsid w:val="00B523E0"/>
    <w:rsid w:val="00B77606"/>
    <w:rsid w:val="00B92DEC"/>
    <w:rsid w:val="00B96A2E"/>
    <w:rsid w:val="00BA74C7"/>
    <w:rsid w:val="00BD3112"/>
    <w:rsid w:val="00C04128"/>
    <w:rsid w:val="00C27AF1"/>
    <w:rsid w:val="00C301AB"/>
    <w:rsid w:val="00C43601"/>
    <w:rsid w:val="00C539BF"/>
    <w:rsid w:val="00C54FB3"/>
    <w:rsid w:val="00C571E4"/>
    <w:rsid w:val="00C57D38"/>
    <w:rsid w:val="00C73BFF"/>
    <w:rsid w:val="00C741B1"/>
    <w:rsid w:val="00C756A4"/>
    <w:rsid w:val="00C84FE0"/>
    <w:rsid w:val="00CA6FA1"/>
    <w:rsid w:val="00CE0F0E"/>
    <w:rsid w:val="00D10274"/>
    <w:rsid w:val="00D165FA"/>
    <w:rsid w:val="00D31EF4"/>
    <w:rsid w:val="00D72488"/>
    <w:rsid w:val="00D737B7"/>
    <w:rsid w:val="00D90671"/>
    <w:rsid w:val="00DA4EC0"/>
    <w:rsid w:val="00DD20C4"/>
    <w:rsid w:val="00DD68C0"/>
    <w:rsid w:val="00DE2785"/>
    <w:rsid w:val="00E54407"/>
    <w:rsid w:val="00E74CF0"/>
    <w:rsid w:val="00E76EBE"/>
    <w:rsid w:val="00E8380A"/>
    <w:rsid w:val="00EB000F"/>
    <w:rsid w:val="00EB5A77"/>
    <w:rsid w:val="00EB64E3"/>
    <w:rsid w:val="00EC52A2"/>
    <w:rsid w:val="00F002FA"/>
    <w:rsid w:val="00F01C6D"/>
    <w:rsid w:val="00F3777C"/>
    <w:rsid w:val="00F43929"/>
    <w:rsid w:val="00F60A2B"/>
    <w:rsid w:val="00F613F0"/>
    <w:rsid w:val="00F668B5"/>
    <w:rsid w:val="00FC7246"/>
    <w:rsid w:val="00FD72A1"/>
    <w:rsid w:val="00FE7891"/>
    <w:rsid w:val="00FF2368"/>
    <w:rsid w:val="00FF53B8"/>
    <w:rsid w:val="04370523"/>
    <w:rsid w:val="0A113EB4"/>
    <w:rsid w:val="FF7FFDC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kern w:val="2"/>
      <w:sz w:val="28"/>
      <w:szCs w:val="28"/>
      <w:lang w:val="en-US" w:eastAsia="zh-CN" w:bidi="ar-SA"/>
    </w:rPr>
  </w:style>
  <w:style w:type="paragraph" w:styleId="2">
    <w:name w:val="heading 1"/>
    <w:basedOn w:val="1"/>
    <w:next w:val="1"/>
    <w:link w:val="23"/>
    <w:qFormat/>
    <w:uiPriority w:val="9"/>
    <w:pPr>
      <w:keepNext/>
      <w:keepLines/>
      <w:spacing w:before="340" w:after="330" w:line="578" w:lineRule="auto"/>
      <w:outlineLvl w:val="0"/>
    </w:pPr>
    <w:rPr>
      <w:rFonts w:ascii="Times New Roman" w:eastAsia="宋体"/>
      <w:b/>
      <w:bCs/>
      <w:kern w:val="44"/>
      <w:sz w:val="44"/>
      <w:szCs w:val="44"/>
    </w:rPr>
  </w:style>
  <w:style w:type="paragraph" w:styleId="3">
    <w:name w:val="heading 2"/>
    <w:basedOn w:val="1"/>
    <w:next w:val="1"/>
    <w:link w:val="24"/>
    <w:unhideWhenUsed/>
    <w:qFormat/>
    <w:uiPriority w:val="9"/>
    <w:pPr>
      <w:keepNext/>
      <w:keepLines/>
      <w:spacing w:before="260" w:after="260" w:line="416" w:lineRule="auto"/>
      <w:outlineLvl w:val="1"/>
    </w:pPr>
    <w:rPr>
      <w:rFonts w:ascii="Cambria" w:hAnsi="Cambria" w:eastAsia="宋体" w:cs="黑体"/>
      <w:b/>
      <w:bCs/>
      <w:sz w:val="32"/>
      <w:szCs w:val="32"/>
    </w:rPr>
  </w:style>
  <w:style w:type="character" w:default="1" w:styleId="13">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4">
    <w:name w:val="Body Text Indent"/>
    <w:basedOn w:val="1"/>
    <w:link w:val="19"/>
    <w:qFormat/>
    <w:uiPriority w:val="0"/>
    <w:pPr>
      <w:spacing w:after="120"/>
      <w:ind w:left="420" w:leftChars="200"/>
    </w:pPr>
  </w:style>
  <w:style w:type="paragraph" w:styleId="5">
    <w:name w:val="Body Text Indent 2"/>
    <w:basedOn w:val="1"/>
    <w:link w:val="18"/>
    <w:qFormat/>
    <w:uiPriority w:val="0"/>
    <w:pPr>
      <w:ind w:firstLine="630"/>
    </w:pPr>
    <w:rPr>
      <w:sz w:val="32"/>
    </w:rPr>
  </w:style>
  <w:style w:type="paragraph" w:styleId="6">
    <w:name w:val="Balloon Text"/>
    <w:basedOn w:val="1"/>
    <w:link w:val="22"/>
    <w:unhideWhenUsed/>
    <w:qFormat/>
    <w:uiPriority w:val="99"/>
    <w:rPr>
      <w:sz w:val="18"/>
      <w:szCs w:val="18"/>
    </w:rPr>
  </w:style>
  <w:style w:type="paragraph" w:styleId="7">
    <w:name w:val="footer"/>
    <w:basedOn w:val="1"/>
    <w:link w:val="21"/>
    <w:unhideWhenUsed/>
    <w:qFormat/>
    <w:uiPriority w:val="99"/>
    <w:pPr>
      <w:tabs>
        <w:tab w:val="center" w:pos="4153"/>
        <w:tab w:val="right" w:pos="8306"/>
      </w:tabs>
      <w:snapToGrid w:val="0"/>
      <w:jc w:val="left"/>
    </w:pPr>
    <w:rPr>
      <w:sz w:val="18"/>
      <w:szCs w:val="18"/>
    </w:rPr>
  </w:style>
  <w:style w:type="paragraph" w:styleId="8">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pPr>
      <w:spacing w:before="120" w:after="120"/>
      <w:jc w:val="left"/>
    </w:pPr>
    <w:rPr>
      <w:rFonts w:ascii="Calibri" w:hAnsi="Calibri" w:eastAsia="宋体"/>
      <w:b/>
      <w:bCs/>
      <w:caps/>
      <w:sz w:val="20"/>
      <w:szCs w:val="20"/>
    </w:rPr>
  </w:style>
  <w:style w:type="paragraph" w:styleId="10">
    <w:name w:val="toc 2"/>
    <w:basedOn w:val="1"/>
    <w:next w:val="1"/>
    <w:unhideWhenUsed/>
    <w:qFormat/>
    <w:uiPriority w:val="39"/>
    <w:pPr>
      <w:ind w:left="210"/>
      <w:jc w:val="left"/>
    </w:pPr>
    <w:rPr>
      <w:rFonts w:ascii="Calibri" w:hAnsi="Calibri" w:eastAsia="宋体"/>
      <w:smallCaps/>
      <w:sz w:val="20"/>
      <w:szCs w:val="20"/>
    </w:rPr>
  </w:style>
  <w:style w:type="paragraph" w:styleId="11">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4">
    <w:name w:val="page number"/>
    <w:basedOn w:val="13"/>
    <w:qFormat/>
    <w:uiPriority w:val="0"/>
  </w:style>
  <w:style w:type="character" w:styleId="15">
    <w:name w:val="Hyperlink"/>
    <w:basedOn w:val="13"/>
    <w:unhideWhenUsed/>
    <w:qFormat/>
    <w:uiPriority w:val="99"/>
    <w:rPr>
      <w:color w:val="0000FF"/>
      <w:u w:val="single"/>
    </w:rPr>
  </w:style>
  <w:style w:type="paragraph" w:customStyle="1" w:styleId="16">
    <w:name w:val="List Paragraph"/>
    <w:basedOn w:val="1"/>
    <w:qFormat/>
    <w:uiPriority w:val="34"/>
    <w:pPr>
      <w:ind w:firstLine="420" w:firstLineChars="200"/>
    </w:pPr>
  </w:style>
  <w:style w:type="paragraph" w:customStyle="1" w:styleId="17">
    <w:name w:val="Default"/>
    <w:qFormat/>
    <w:uiPriority w:val="0"/>
    <w:pPr>
      <w:widowControl w:val="0"/>
      <w:autoSpaceDE w:val="0"/>
      <w:autoSpaceDN w:val="0"/>
      <w:adjustRightInd w:val="0"/>
    </w:pPr>
    <w:rPr>
      <w:rFonts w:ascii="仿宋_GB2312" w:hAnsi="仿宋_GB2312" w:eastAsia="宋体" w:cs="仿宋_GB2312"/>
      <w:color w:val="000000"/>
      <w:kern w:val="0"/>
      <w:sz w:val="24"/>
      <w:szCs w:val="24"/>
      <w:lang w:val="en-US" w:eastAsia="zh-CN" w:bidi="ar-SA"/>
    </w:rPr>
  </w:style>
  <w:style w:type="character" w:customStyle="1" w:styleId="18">
    <w:name w:val="正文文本缩进 2 字符"/>
    <w:basedOn w:val="13"/>
    <w:link w:val="5"/>
    <w:qFormat/>
    <w:uiPriority w:val="0"/>
    <w:rPr>
      <w:rFonts w:ascii="仿宋_GB2312" w:hAnsi="Times New Roman" w:eastAsia="仿宋_GB2312" w:cs="Times New Roman"/>
      <w:sz w:val="32"/>
      <w:szCs w:val="28"/>
    </w:rPr>
  </w:style>
  <w:style w:type="character" w:customStyle="1" w:styleId="19">
    <w:name w:val="正文文本缩进 字符"/>
    <w:basedOn w:val="13"/>
    <w:link w:val="4"/>
    <w:qFormat/>
    <w:uiPriority w:val="0"/>
    <w:rPr>
      <w:rFonts w:ascii="仿宋_GB2312" w:hAnsi="Times New Roman" w:eastAsia="仿宋_GB2312" w:cs="Times New Roman"/>
      <w:sz w:val="28"/>
      <w:szCs w:val="28"/>
    </w:rPr>
  </w:style>
  <w:style w:type="character" w:customStyle="1" w:styleId="20">
    <w:name w:val="页眉 字符"/>
    <w:basedOn w:val="13"/>
    <w:link w:val="8"/>
    <w:qFormat/>
    <w:uiPriority w:val="99"/>
    <w:rPr>
      <w:rFonts w:ascii="仿宋_GB2312" w:hAnsi="Times New Roman" w:eastAsia="仿宋_GB2312" w:cs="Times New Roman"/>
      <w:sz w:val="18"/>
      <w:szCs w:val="18"/>
    </w:rPr>
  </w:style>
  <w:style w:type="character" w:customStyle="1" w:styleId="21">
    <w:name w:val="页脚 字符"/>
    <w:basedOn w:val="13"/>
    <w:link w:val="7"/>
    <w:qFormat/>
    <w:uiPriority w:val="99"/>
    <w:rPr>
      <w:rFonts w:ascii="仿宋_GB2312" w:hAnsi="Times New Roman" w:eastAsia="仿宋_GB2312" w:cs="Times New Roman"/>
      <w:sz w:val="18"/>
      <w:szCs w:val="18"/>
    </w:rPr>
  </w:style>
  <w:style w:type="character" w:customStyle="1" w:styleId="22">
    <w:name w:val="批注框文本 字符"/>
    <w:basedOn w:val="13"/>
    <w:link w:val="6"/>
    <w:semiHidden/>
    <w:qFormat/>
    <w:uiPriority w:val="99"/>
    <w:rPr>
      <w:rFonts w:ascii="仿宋_GB2312" w:hAnsi="Times New Roman" w:eastAsia="仿宋_GB2312" w:cs="Times New Roman"/>
      <w:sz w:val="18"/>
      <w:szCs w:val="18"/>
    </w:rPr>
  </w:style>
  <w:style w:type="character" w:customStyle="1" w:styleId="23">
    <w:name w:val="标题 1 字符"/>
    <w:basedOn w:val="13"/>
    <w:link w:val="2"/>
    <w:qFormat/>
    <w:uiPriority w:val="9"/>
    <w:rPr>
      <w:rFonts w:ascii="Times New Roman" w:hAnsi="Times New Roman" w:eastAsia="宋体" w:cs="Times New Roman"/>
      <w:b/>
      <w:bCs/>
      <w:kern w:val="44"/>
      <w:sz w:val="44"/>
      <w:szCs w:val="44"/>
    </w:rPr>
  </w:style>
  <w:style w:type="character" w:customStyle="1" w:styleId="24">
    <w:name w:val="标题 2 字符"/>
    <w:basedOn w:val="13"/>
    <w:link w:val="3"/>
    <w:qFormat/>
    <w:uiPriority w:val="9"/>
    <w:rPr>
      <w:rFonts w:ascii="Cambria" w:hAnsi="Cambria" w:eastAsia="宋体" w:cs="黑体"/>
      <w:b/>
      <w:bCs/>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6</Pages>
  <Words>3254</Words>
  <Characters>3469</Characters>
  <Lines>10</Lines>
  <Paragraphs>2</Paragraphs>
  <TotalTime>2</TotalTime>
  <ScaleCrop>false</ScaleCrop>
  <LinksUpToDate>false</LinksUpToDate>
  <CharactersWithSpaces>3598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2018-08-13T13:29:00Z</dcterms:created>
  <dc:creator>admin</dc:creator>
  <cp:lastModifiedBy>Sunny</cp:lastModifiedBy>
  <cp:lastPrinted>2018-06-20T09:28:00Z</cp:lastPrinted>
  <dcterms:modified xsi:type="dcterms:W3CDTF">2026-01-15T07:03:29Z</dcterms:modified>
  <dc:title>东方大地保险经纪有限公司案件防控管理规定</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9EEAAFEA81A74506ACBF4B005DAD6E62_13</vt:lpwstr>
  </property>
</Properties>
</file>