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CA2494">
      <w:pPr>
        <w:jc w:val="center"/>
        <w:rPr>
          <w:rFonts w:hint="eastAsia" w:ascii="微软雅黑" w:hAnsi="微软雅黑" w:eastAsia="微软雅黑"/>
          <w:b/>
          <w:bCs/>
          <w:sz w:val="32"/>
          <w:szCs w:val="36"/>
          <w:lang w:eastAsia="zh-CN"/>
        </w:rPr>
      </w:pPr>
      <w:r>
        <w:rPr>
          <w:rFonts w:hint="eastAsia" w:ascii="微软雅黑" w:hAnsi="微软雅黑" w:eastAsia="微软雅黑"/>
          <w:b/>
          <w:bCs/>
          <w:sz w:val="32"/>
          <w:szCs w:val="36"/>
        </w:rPr>
        <w:t>东方大地保险经纪有限公司关于严格规范激励行为</w:t>
      </w:r>
      <w:r>
        <w:rPr>
          <w:rFonts w:hint="eastAsia" w:ascii="微软雅黑" w:hAnsi="微软雅黑" w:eastAsia="微软雅黑"/>
          <w:b/>
          <w:bCs/>
          <w:sz w:val="32"/>
          <w:szCs w:val="36"/>
          <w:lang w:eastAsia="zh-CN"/>
        </w:rPr>
        <w:t>的</w:t>
      </w:r>
    </w:p>
    <w:p w14:paraId="5357F1F3">
      <w:pPr>
        <w:jc w:val="center"/>
        <w:rPr>
          <w:rFonts w:hint="eastAsia" w:ascii="微软雅黑 Light" w:hAnsi="微软雅黑 Light" w:eastAsia="微软雅黑 Light" w:cs="微软雅黑 Light"/>
          <w:i w:val="0"/>
          <w:caps w:val="0"/>
          <w:color w:val="000000"/>
          <w:spacing w:val="0"/>
          <w:sz w:val="24"/>
          <w:szCs w:val="24"/>
          <w:shd w:val="clear" w:color="070000" w:fill="FFFFFF"/>
        </w:rPr>
      </w:pPr>
      <w:r>
        <w:rPr>
          <w:rFonts w:hint="eastAsia" w:ascii="微软雅黑" w:hAnsi="微软雅黑" w:eastAsia="微软雅黑"/>
          <w:b/>
          <w:bCs/>
          <w:sz w:val="32"/>
          <w:szCs w:val="36"/>
        </w:rPr>
        <w:t>工作管理制度</w:t>
      </w:r>
    </w:p>
    <w:p w14:paraId="67C7835D">
      <w:pPr>
        <w:pStyle w:val="11"/>
        <w:widowControl/>
        <w:shd w:val="clear" w:color="050000" w:fill="FFFFFF"/>
        <w:wordWrap/>
        <w:adjustRightInd/>
        <w:snapToGrid/>
        <w:spacing w:before="100" w:beforeAutospacing="1" w:after="100" w:afterAutospacing="1" w:line="240" w:lineRule="auto"/>
        <w:ind w:left="0" w:leftChars="0" w:right="0" w:firstLine="480" w:firstLineChars="200"/>
        <w:jc w:val="left"/>
        <w:textAlignment w:val="auto"/>
        <w:outlineLvl w:val="9"/>
        <w:rPr>
          <w:rFonts w:hint="eastAsia" w:ascii="微软雅黑 Light" w:hAnsi="微软雅黑 Light" w:eastAsia="微软雅黑 Light" w:cs="微软雅黑 Light"/>
          <w:i w:val="0"/>
          <w:caps w:val="0"/>
          <w:color w:val="000000"/>
          <w:spacing w:val="0"/>
          <w:sz w:val="24"/>
          <w:szCs w:val="24"/>
        </w:rPr>
      </w:pPr>
      <w:r>
        <w:rPr>
          <w:rFonts w:hint="eastAsia" w:ascii="微软雅黑 Light" w:hAnsi="微软雅黑 Light" w:eastAsia="微软雅黑 Light" w:cs="微软雅黑 Light"/>
          <w:i w:val="0"/>
          <w:caps w:val="0"/>
          <w:color w:val="000000"/>
          <w:spacing w:val="0"/>
          <w:sz w:val="24"/>
          <w:szCs w:val="24"/>
          <w:shd w:val="clear" w:color="070000" w:fill="FFFFFF"/>
        </w:rPr>
        <w:t>一、严格</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按照</w:t>
      </w:r>
      <w:r>
        <w:rPr>
          <w:rFonts w:hint="eastAsia" w:ascii="微软雅黑 Light" w:hAnsi="微软雅黑 Light" w:eastAsia="微软雅黑 Light" w:cs="微软雅黑 Light"/>
          <w:i w:val="0"/>
          <w:caps w:val="0"/>
          <w:color w:val="000000"/>
          <w:spacing w:val="0"/>
          <w:sz w:val="24"/>
          <w:szCs w:val="24"/>
          <w:shd w:val="clear" w:color="070000" w:fill="FFFFFF"/>
          <w:lang w:eastAsia="zh-CN"/>
        </w:rPr>
        <w:t>《</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中华人民共和国保险法</w:t>
      </w:r>
      <w:r>
        <w:rPr>
          <w:rFonts w:hint="eastAsia" w:ascii="微软雅黑 Light" w:hAnsi="微软雅黑 Light" w:eastAsia="微软雅黑 Light" w:cs="微软雅黑 Light"/>
          <w:i w:val="0"/>
          <w:caps w:val="0"/>
          <w:color w:val="000000"/>
          <w:spacing w:val="0"/>
          <w:sz w:val="24"/>
          <w:szCs w:val="24"/>
          <w:shd w:val="clear" w:color="070000" w:fill="FFFFFF"/>
          <w:lang w:eastAsia="zh-CN"/>
        </w:rPr>
        <w:t>》、《</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保险经纪人监管规定</w:t>
      </w:r>
      <w:r>
        <w:rPr>
          <w:rFonts w:hint="eastAsia" w:ascii="微软雅黑 Light" w:hAnsi="微软雅黑 Light" w:eastAsia="微软雅黑 Light" w:cs="微软雅黑 Light"/>
          <w:i w:val="0"/>
          <w:caps w:val="0"/>
          <w:color w:val="000000"/>
          <w:spacing w:val="0"/>
          <w:sz w:val="24"/>
          <w:szCs w:val="24"/>
          <w:shd w:val="clear" w:color="070000" w:fill="FFFFFF"/>
          <w:lang w:eastAsia="zh-CN"/>
        </w:rPr>
        <w:t>》、《</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中国保险监督管理委员会关于严格规范保险专业中介机构激励行为的通知</w:t>
      </w:r>
      <w:r>
        <w:rPr>
          <w:rFonts w:hint="eastAsia" w:ascii="微软雅黑 Light" w:hAnsi="微软雅黑 Light" w:eastAsia="微软雅黑 Light" w:cs="微软雅黑 Light"/>
          <w:i w:val="0"/>
          <w:caps w:val="0"/>
          <w:color w:val="000000"/>
          <w:spacing w:val="0"/>
          <w:sz w:val="24"/>
          <w:szCs w:val="24"/>
          <w:shd w:val="clear" w:color="070000" w:fill="FFFFFF"/>
          <w:lang w:eastAsia="zh-CN"/>
        </w:rPr>
        <w:t>》</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等监管</w:t>
      </w:r>
      <w:r>
        <w:rPr>
          <w:rFonts w:hint="eastAsia" w:ascii="微软雅黑 Light" w:hAnsi="微软雅黑 Light" w:eastAsia="微软雅黑 Light" w:cs="微软雅黑 Light"/>
          <w:i w:val="0"/>
          <w:caps w:val="0"/>
          <w:color w:val="000000"/>
          <w:spacing w:val="0"/>
          <w:sz w:val="24"/>
          <w:szCs w:val="24"/>
          <w:shd w:val="clear" w:color="070000" w:fill="FFFFFF"/>
        </w:rPr>
        <w:t>要求，进行自查自纠，确保内部职工持股符合有关法律和政策。</w:t>
      </w:r>
    </w:p>
    <w:p w14:paraId="06134D9D">
      <w:pPr>
        <w:pStyle w:val="11"/>
        <w:widowControl/>
        <w:shd w:val="clear" w:color="050000" w:fill="FFFFFF"/>
        <w:wordWrap/>
        <w:adjustRightInd/>
        <w:snapToGrid/>
        <w:spacing w:before="100" w:beforeAutospacing="1" w:after="100" w:afterAutospacing="1" w:line="240" w:lineRule="auto"/>
        <w:ind w:left="0" w:leftChars="0" w:right="0" w:firstLine="480" w:firstLineChars="200"/>
        <w:jc w:val="left"/>
        <w:textAlignment w:val="auto"/>
        <w:outlineLvl w:val="9"/>
        <w:rPr>
          <w:rFonts w:hint="eastAsia" w:ascii="微软雅黑 Light" w:hAnsi="微软雅黑 Light" w:eastAsia="微软雅黑 Light" w:cs="微软雅黑 Light"/>
          <w:i w:val="0"/>
          <w:caps w:val="0"/>
          <w:color w:val="000000"/>
          <w:spacing w:val="0"/>
          <w:sz w:val="24"/>
          <w:szCs w:val="24"/>
        </w:rPr>
      </w:pPr>
      <w:r>
        <w:rPr>
          <w:rFonts w:hint="eastAsia" w:ascii="微软雅黑 Light" w:hAnsi="微软雅黑 Light" w:eastAsia="微软雅黑 Light" w:cs="微软雅黑 Light"/>
          <w:i w:val="0"/>
          <w:caps w:val="0"/>
          <w:color w:val="000000"/>
          <w:spacing w:val="0"/>
          <w:sz w:val="24"/>
          <w:szCs w:val="24"/>
          <w:shd w:val="clear" w:color="070000" w:fill="FFFFFF"/>
        </w:rPr>
        <w:t>二、</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本公司</w:t>
      </w:r>
      <w:r>
        <w:rPr>
          <w:rFonts w:hint="eastAsia" w:ascii="微软雅黑 Light" w:hAnsi="微软雅黑 Light" w:eastAsia="微软雅黑 Light" w:cs="微软雅黑 Light"/>
          <w:i w:val="0"/>
          <w:caps w:val="0"/>
          <w:color w:val="000000"/>
          <w:spacing w:val="0"/>
          <w:sz w:val="24"/>
          <w:szCs w:val="24"/>
          <w:shd w:val="clear" w:color="070000" w:fill="FFFFFF"/>
        </w:rPr>
        <w:t>只能对在本机构连续执业两年以上的销售人员实施股权激励，不得为快速做大业务规模而随意拓宽股权激励对象的范围。</w:t>
      </w:r>
    </w:p>
    <w:p w14:paraId="0237D7E7">
      <w:pPr>
        <w:pStyle w:val="11"/>
        <w:widowControl/>
        <w:shd w:val="clear" w:color="050000" w:fill="FFFFFF"/>
        <w:wordWrap/>
        <w:adjustRightInd/>
        <w:snapToGrid/>
        <w:spacing w:before="100" w:beforeAutospacing="1" w:after="100" w:afterAutospacing="1" w:line="240" w:lineRule="auto"/>
        <w:ind w:left="0" w:leftChars="0" w:right="0" w:firstLine="480" w:firstLineChars="200"/>
        <w:jc w:val="left"/>
        <w:textAlignment w:val="auto"/>
        <w:outlineLvl w:val="9"/>
        <w:rPr>
          <w:rFonts w:hint="eastAsia" w:ascii="微软雅黑 Light" w:hAnsi="微软雅黑 Light" w:eastAsia="微软雅黑 Light" w:cs="微软雅黑 Light"/>
          <w:i w:val="0"/>
          <w:caps w:val="0"/>
          <w:color w:val="000000"/>
          <w:spacing w:val="0"/>
          <w:sz w:val="24"/>
          <w:szCs w:val="24"/>
        </w:rPr>
      </w:pPr>
      <w:r>
        <w:rPr>
          <w:rFonts w:hint="eastAsia" w:ascii="微软雅黑 Light" w:hAnsi="微软雅黑 Light" w:eastAsia="微软雅黑 Light" w:cs="微软雅黑 Light"/>
          <w:i w:val="0"/>
          <w:caps w:val="0"/>
          <w:color w:val="000000"/>
          <w:spacing w:val="0"/>
          <w:sz w:val="24"/>
          <w:szCs w:val="24"/>
          <w:shd w:val="clear" w:color="070000" w:fill="FFFFFF"/>
        </w:rPr>
        <w:t>三、</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本公司</w:t>
      </w:r>
      <w:r>
        <w:rPr>
          <w:rFonts w:hint="eastAsia" w:ascii="微软雅黑 Light" w:hAnsi="微软雅黑 Light" w:eastAsia="微软雅黑 Light" w:cs="微软雅黑 Light"/>
          <w:i w:val="0"/>
          <w:caps w:val="0"/>
          <w:color w:val="000000"/>
          <w:spacing w:val="0"/>
          <w:sz w:val="24"/>
          <w:szCs w:val="24"/>
          <w:shd w:val="clear" w:color="070000" w:fill="FFFFFF"/>
        </w:rPr>
        <w:t>实施激励时，不得对激励方案进行欺骗或者误导性宣传，包括夸大或者随意承诺未来上市等不确定性收益；不得诱导销售人员为获得激励而购买自保件、借款买保险等；不得以激励为名向客户赠送股权、返还不正当利益。</w:t>
      </w:r>
    </w:p>
    <w:p w14:paraId="53921714">
      <w:pPr>
        <w:pStyle w:val="11"/>
        <w:widowControl/>
        <w:shd w:val="clear" w:color="050000" w:fill="FFFFFF"/>
        <w:wordWrap/>
        <w:adjustRightInd/>
        <w:snapToGrid/>
        <w:spacing w:before="100" w:beforeAutospacing="1" w:after="100" w:afterAutospacing="1" w:line="240" w:lineRule="auto"/>
        <w:ind w:left="0" w:leftChars="0" w:right="0" w:firstLine="480" w:firstLineChars="200"/>
        <w:jc w:val="left"/>
        <w:textAlignment w:val="auto"/>
        <w:outlineLvl w:val="9"/>
        <w:rPr>
          <w:rFonts w:hint="eastAsia" w:ascii="微软雅黑 Light" w:hAnsi="微软雅黑 Light" w:eastAsia="微软雅黑 Light" w:cs="微软雅黑 Light"/>
          <w:i w:val="0"/>
          <w:caps w:val="0"/>
          <w:color w:val="000000"/>
          <w:spacing w:val="0"/>
          <w:sz w:val="24"/>
          <w:szCs w:val="24"/>
          <w:shd w:val="clear" w:color="070000" w:fill="FFFFFF"/>
        </w:rPr>
      </w:pPr>
      <w:r>
        <w:rPr>
          <w:rFonts w:hint="eastAsia" w:ascii="微软雅黑 Light" w:hAnsi="微软雅黑 Light" w:eastAsia="微软雅黑 Light" w:cs="微软雅黑 Light"/>
          <w:i w:val="0"/>
          <w:caps w:val="0"/>
          <w:color w:val="000000"/>
          <w:spacing w:val="0"/>
          <w:sz w:val="24"/>
          <w:szCs w:val="24"/>
          <w:shd w:val="clear" w:color="070000" w:fill="FFFFFF"/>
        </w:rPr>
        <w:t>四、</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本公司</w:t>
      </w:r>
      <w:r>
        <w:rPr>
          <w:rFonts w:hint="eastAsia" w:ascii="微软雅黑 Light" w:hAnsi="微软雅黑 Light" w:eastAsia="微软雅黑 Light" w:cs="微软雅黑 Light"/>
          <w:i w:val="0"/>
          <w:caps w:val="0"/>
          <w:color w:val="000000"/>
          <w:spacing w:val="0"/>
          <w:sz w:val="24"/>
          <w:szCs w:val="24"/>
          <w:shd w:val="clear" w:color="070000" w:fill="FFFFFF"/>
        </w:rPr>
        <w:t>应于每年第一季度</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向当地监管部门</w:t>
      </w:r>
      <w:r>
        <w:rPr>
          <w:rFonts w:hint="eastAsia" w:ascii="微软雅黑 Light" w:hAnsi="微软雅黑 Light" w:eastAsia="微软雅黑 Light" w:cs="微软雅黑 Light"/>
          <w:i w:val="0"/>
          <w:caps w:val="0"/>
          <w:color w:val="000000"/>
          <w:spacing w:val="0"/>
          <w:sz w:val="24"/>
          <w:szCs w:val="24"/>
          <w:shd w:val="clear" w:color="070000" w:fill="FFFFFF"/>
        </w:rPr>
        <w:t>报告上年度执行</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激励</w:t>
      </w:r>
      <w:r>
        <w:rPr>
          <w:rFonts w:hint="eastAsia" w:ascii="微软雅黑 Light" w:hAnsi="微软雅黑 Light" w:eastAsia="微软雅黑 Light" w:cs="微软雅黑 Light"/>
          <w:i w:val="0"/>
          <w:caps w:val="0"/>
          <w:color w:val="000000"/>
          <w:spacing w:val="0"/>
          <w:sz w:val="24"/>
          <w:szCs w:val="24"/>
          <w:shd w:val="clear" w:color="070000" w:fill="FFFFFF"/>
        </w:rPr>
        <w:t>的情况。</w:t>
      </w:r>
    </w:p>
    <w:p w14:paraId="717554CF">
      <w:pPr>
        <w:pStyle w:val="11"/>
        <w:widowControl/>
        <w:shd w:val="clear" w:color="050000" w:fill="FFFFFF"/>
        <w:ind w:left="0" w:firstLine="0"/>
        <w:jc w:val="right"/>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pPr>
      <w:bookmarkStart w:id="0" w:name="_GoBack"/>
      <w:bookmarkEnd w:id="0"/>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东方大地（武汉）保险经纪有限公司</w:t>
      </w:r>
    </w:p>
    <w:p w14:paraId="6EC560EA">
      <w:pPr>
        <w:pStyle w:val="11"/>
        <w:widowControl/>
        <w:shd w:val="clear" w:color="050000" w:fill="FFFFFF"/>
        <w:ind w:left="0" w:firstLine="0"/>
        <w:jc w:val="right"/>
        <w:rPr>
          <w:rFonts w:hint="eastAsia" w:ascii="微软雅黑 Light" w:hAnsi="微软雅黑 Light" w:eastAsia="微软雅黑 Light" w:cs="微软雅黑 Light"/>
          <w:i w:val="0"/>
          <w:caps w:val="0"/>
          <w:color w:val="000000"/>
          <w:spacing w:val="0"/>
          <w:sz w:val="24"/>
          <w:szCs w:val="24"/>
        </w:rPr>
      </w:pPr>
      <w:r>
        <w:rPr>
          <w:rFonts w:hint="eastAsia" w:ascii="微软雅黑 Light" w:hAnsi="微软雅黑 Light" w:eastAsia="微软雅黑 Light" w:cs="微软雅黑 Light"/>
          <w:i w:val="0"/>
          <w:caps w:val="0"/>
          <w:color w:val="000000"/>
          <w:spacing w:val="0"/>
          <w:sz w:val="24"/>
          <w:szCs w:val="24"/>
          <w:shd w:val="clear" w:color="070000" w:fill="FFFFFF"/>
        </w:rPr>
        <w:t>二○一</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八</w:t>
      </w:r>
      <w:r>
        <w:rPr>
          <w:rFonts w:hint="eastAsia" w:ascii="微软雅黑 Light" w:hAnsi="微软雅黑 Light" w:eastAsia="微软雅黑 Light" w:cs="微软雅黑 Light"/>
          <w:i w:val="0"/>
          <w:caps w:val="0"/>
          <w:color w:val="000000"/>
          <w:spacing w:val="0"/>
          <w:sz w:val="24"/>
          <w:szCs w:val="24"/>
          <w:shd w:val="clear" w:color="070000" w:fill="FFFFFF"/>
        </w:rPr>
        <w:t>年十一月</w:t>
      </w:r>
      <w:r>
        <w:rPr>
          <w:rFonts w:hint="eastAsia" w:ascii="微软雅黑 Light" w:hAnsi="微软雅黑 Light" w:eastAsia="微软雅黑 Light" w:cs="微软雅黑 Light"/>
          <w:i w:val="0"/>
          <w:caps w:val="0"/>
          <w:color w:val="000000"/>
          <w:spacing w:val="0"/>
          <w:sz w:val="24"/>
          <w:szCs w:val="24"/>
          <w:shd w:val="clear" w:color="070000" w:fill="FFFFFF"/>
          <w:lang w:val="en-US" w:eastAsia="zh-CN"/>
        </w:rPr>
        <w:t>二十</w:t>
      </w:r>
      <w:r>
        <w:rPr>
          <w:rFonts w:hint="eastAsia" w:ascii="微软雅黑 Light" w:hAnsi="微软雅黑 Light" w:eastAsia="微软雅黑 Light" w:cs="微软雅黑 Light"/>
          <w:i w:val="0"/>
          <w:caps w:val="0"/>
          <w:color w:val="000000"/>
          <w:spacing w:val="0"/>
          <w:sz w:val="24"/>
          <w:szCs w:val="24"/>
          <w:shd w:val="clear" w:color="070000" w:fill="FFFFFF"/>
        </w:rPr>
        <w:t>五日</w:t>
      </w:r>
    </w:p>
    <w:p w14:paraId="4E64A690">
      <w:pPr>
        <w:rPr>
          <w:rFonts w:hint="eastAsia" w:ascii="微软雅黑 Light" w:hAnsi="微软雅黑 Light" w:eastAsia="微软雅黑 Light" w:cs="微软雅黑 Light"/>
          <w:sz w:val="24"/>
          <w:szCs w:val="24"/>
        </w:rPr>
      </w:pPr>
    </w:p>
    <w:p w14:paraId="211F2E93">
      <w:pPr>
        <w:rPr>
          <w:rFonts w:hint="eastAsia" w:ascii="微软雅黑 Light" w:hAnsi="微软雅黑 Light" w:eastAsia="微软雅黑 Light" w:cs="微软雅黑 Light"/>
          <w:sz w:val="24"/>
          <w:szCs w:val="24"/>
        </w:rPr>
      </w:pPr>
    </w:p>
    <w:p w14:paraId="2820D9DB"/>
    <w:sectPr>
      <w:headerReference r:id="rId3" w:type="default"/>
      <w:footerReference r:id="rId4" w:type="default"/>
      <w:footerReference r:id="rId5"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方正仿宋_GBK">
    <w:altName w:val="微软雅黑"/>
    <w:panose1 w:val="02000000000000000000"/>
    <w:charset w:val="86"/>
    <w:family w:val="auto"/>
    <w:pitch w:val="default"/>
    <w:sig w:usb0="00000000" w:usb1="00000000" w:usb2="00082016" w:usb3="00000000" w:csb0="00040001"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微软雅黑 Light">
    <w:panose1 w:val="020B0502040204020203"/>
    <w:charset w:val="86"/>
    <w:family w:val="auto"/>
    <w:pitch w:val="default"/>
    <w:sig w:usb0="80000287" w:usb1="2ACF001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50151598"/>
    </w:sdtPr>
    <w:sdtContent>
      <w:sdt>
        <w:sdtPr>
          <w:id w:val="147464036"/>
        </w:sdtPr>
        <w:sdtContent>
          <w:p w14:paraId="3314D698">
            <w:pPr>
              <w:pStyle w:val="7"/>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3</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4</w:t>
            </w:r>
            <w:r>
              <w:rPr>
                <w:b/>
                <w:bCs/>
                <w:sz w:val="24"/>
                <w:szCs w:val="24"/>
              </w:rPr>
              <w:fldChar w:fldCharType="end"/>
            </w:r>
          </w:p>
        </w:sdtContent>
      </w:sdt>
    </w:sdtContent>
  </w:sdt>
  <w:p w14:paraId="2B91C214">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0E5DB7">
    <w:pPr>
      <w:pStyle w:val="7"/>
      <w:framePr w:wrap="around" w:vAnchor="text" w:hAnchor="margin" w:xAlign="center" w:y="1"/>
      <w:rPr>
        <w:rStyle w:val="14"/>
      </w:rPr>
    </w:pPr>
    <w:r>
      <w:rPr>
        <w:rStyle w:val="14"/>
      </w:rPr>
      <w:fldChar w:fldCharType="begin"/>
    </w:r>
    <w:r>
      <w:rPr>
        <w:rStyle w:val="14"/>
      </w:rPr>
      <w:instrText xml:space="preserve">PAGE  </w:instrText>
    </w:r>
    <w:r>
      <w:rPr>
        <w:rStyle w:val="14"/>
      </w:rPr>
      <w:fldChar w:fldCharType="end"/>
    </w:r>
  </w:p>
  <w:p w14:paraId="6CCF15A8">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12"/>
      <w:tblW w:w="9279"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680"/>
      <w:gridCol w:w="4044"/>
      <w:gridCol w:w="2555"/>
    </w:tblGrid>
    <w:tr w14:paraId="0C60FE0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2680" w:type="dxa"/>
          <w:vAlign w:val="center"/>
        </w:tcPr>
        <w:p w14:paraId="609B9713">
          <w:pPr>
            <w:rPr>
              <w:sz w:val="13"/>
            </w:rPr>
          </w:pPr>
          <w:r>
            <w:drawing>
              <wp:inline distT="0" distB="0" distL="0" distR="0">
                <wp:extent cx="1564640" cy="546735"/>
                <wp:effectExtent l="0" t="0" r="0" b="57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564640" cy="546735"/>
                        </a:xfrm>
                        <a:prstGeom prst="rect">
                          <a:avLst/>
                        </a:prstGeom>
                      </pic:spPr>
                    </pic:pic>
                  </a:graphicData>
                </a:graphic>
              </wp:inline>
            </w:drawing>
          </w:r>
        </w:p>
      </w:tc>
      <w:tc>
        <w:tcPr>
          <w:tcW w:w="4044" w:type="dxa"/>
          <w:vAlign w:val="center"/>
        </w:tcPr>
        <w:p w14:paraId="563CAF50">
          <w:pPr>
            <w:jc w:val="center"/>
            <w:rPr>
              <w:rFonts w:hint="eastAsia" w:ascii="微软雅黑" w:hAnsi="微软雅黑" w:eastAsia="微软雅黑"/>
              <w:b/>
              <w:bCs/>
              <w:sz w:val="28"/>
              <w:szCs w:val="32"/>
            </w:rPr>
          </w:pPr>
          <w:r>
            <w:rPr>
              <w:rFonts w:hint="eastAsia" w:ascii="微软雅黑" w:hAnsi="微软雅黑" w:eastAsia="微软雅黑"/>
              <w:b/>
              <w:bCs/>
              <w:sz w:val="28"/>
              <w:szCs w:val="32"/>
            </w:rPr>
            <w:t>东方大地保险经纪有限公司</w:t>
          </w:r>
        </w:p>
        <w:p w14:paraId="7B2730A6">
          <w:pPr>
            <w:jc w:val="center"/>
            <w:rPr>
              <w:rFonts w:ascii="黑体" w:hAnsi="黑体" w:eastAsia="黑体"/>
              <w:b/>
            </w:rPr>
          </w:pPr>
          <w:r>
            <w:rPr>
              <w:rFonts w:hint="eastAsia" w:ascii="微软雅黑" w:hAnsi="微软雅黑" w:eastAsia="微软雅黑"/>
              <w:b/>
              <w:bCs/>
              <w:sz w:val="28"/>
              <w:szCs w:val="32"/>
            </w:rPr>
            <w:t>关于严格规范激励行为</w:t>
          </w:r>
          <w:r>
            <w:rPr>
              <w:rFonts w:hint="eastAsia" w:ascii="微软雅黑" w:hAnsi="微软雅黑" w:eastAsia="微软雅黑"/>
              <w:b/>
              <w:bCs/>
              <w:sz w:val="28"/>
              <w:szCs w:val="32"/>
              <w:lang w:eastAsia="zh-CN"/>
            </w:rPr>
            <w:t>的</w:t>
          </w:r>
          <w:r>
            <w:rPr>
              <w:rFonts w:hint="eastAsia" w:ascii="微软雅黑" w:hAnsi="微软雅黑" w:eastAsia="微软雅黑"/>
              <w:b/>
              <w:bCs/>
              <w:sz w:val="28"/>
              <w:szCs w:val="32"/>
            </w:rPr>
            <w:t>工作管理制度</w:t>
          </w:r>
        </w:p>
      </w:tc>
      <w:tc>
        <w:tcPr>
          <w:tcW w:w="2555" w:type="dxa"/>
          <w:vAlign w:val="center"/>
        </w:tcPr>
        <w:p w14:paraId="6B06A6A9">
          <w:pPr>
            <w:rPr>
              <w:rFonts w:ascii="黑体" w:hAnsi="黑体" w:eastAsia="黑体"/>
              <w:sz w:val="21"/>
              <w:szCs w:val="21"/>
            </w:rPr>
          </w:pPr>
          <w:r>
            <w:rPr>
              <w:rFonts w:hint="eastAsia" w:ascii="黑体" w:hAnsi="黑体" w:eastAsia="黑体"/>
              <w:sz w:val="21"/>
              <w:szCs w:val="21"/>
            </w:rPr>
            <w:t>编号：</w:t>
          </w:r>
          <w:r>
            <w:rPr>
              <w:rFonts w:ascii="黑体" w:hAnsi="黑体" w:eastAsia="黑体"/>
              <w:sz w:val="21"/>
              <w:szCs w:val="21"/>
            </w:rPr>
            <w:t>DFDD-ZD-lj02</w:t>
          </w:r>
        </w:p>
        <w:p w14:paraId="0F83C511">
          <w:pPr>
            <w:rPr>
              <w:rFonts w:ascii="黑体" w:hAnsi="黑体" w:eastAsia="黑体"/>
              <w:color w:val="000000"/>
              <w:sz w:val="21"/>
              <w:szCs w:val="21"/>
            </w:rPr>
          </w:pPr>
          <w:r>
            <w:rPr>
              <w:rFonts w:hint="eastAsia" w:ascii="黑体" w:hAnsi="黑体" w:eastAsia="黑体"/>
              <w:sz w:val="21"/>
              <w:szCs w:val="21"/>
            </w:rPr>
            <w:t>版号：1</w:t>
          </w:r>
          <w:r>
            <w:rPr>
              <w:rFonts w:ascii="黑体" w:hAnsi="黑体" w:eastAsia="黑体"/>
              <w:sz w:val="21"/>
              <w:szCs w:val="21"/>
            </w:rPr>
            <w:t>8A</w:t>
          </w:r>
          <w:r>
            <w:rPr>
              <w:rFonts w:hint="eastAsia" w:ascii="黑体" w:hAnsi="黑体" w:eastAsia="黑体"/>
              <w:sz w:val="21"/>
              <w:szCs w:val="21"/>
            </w:rPr>
            <w:t>/</w:t>
          </w:r>
          <w:r>
            <w:rPr>
              <w:rFonts w:ascii="黑体" w:hAnsi="黑体" w:eastAsia="黑体"/>
              <w:sz w:val="21"/>
              <w:szCs w:val="21"/>
            </w:rPr>
            <w:t>0</w:t>
          </w:r>
        </w:p>
        <w:p w14:paraId="606711ED">
          <w:pPr>
            <w:rPr>
              <w:sz w:val="24"/>
            </w:rPr>
          </w:pPr>
          <w:r>
            <w:rPr>
              <w:rFonts w:hint="eastAsia" w:ascii="黑体" w:hAnsi="黑体" w:eastAsia="黑体"/>
              <w:sz w:val="21"/>
              <w:szCs w:val="21"/>
            </w:rPr>
            <w:t>页码：</w:t>
          </w:r>
          <w:r>
            <w:rPr>
              <w:rFonts w:hint="eastAsia" w:ascii="黑体" w:hAnsi="黑体" w:eastAsia="黑体"/>
              <w:kern w:val="0"/>
              <w:sz w:val="21"/>
              <w:szCs w:val="21"/>
            </w:rPr>
            <w:t xml:space="preserve">第 </w:t>
          </w:r>
          <w:r>
            <w:rPr>
              <w:rFonts w:ascii="黑体" w:hAnsi="黑体" w:eastAsia="黑体"/>
              <w:kern w:val="0"/>
              <w:sz w:val="21"/>
              <w:szCs w:val="21"/>
            </w:rPr>
            <w:fldChar w:fldCharType="begin"/>
          </w:r>
          <w:r>
            <w:rPr>
              <w:rFonts w:ascii="黑体" w:hAnsi="黑体" w:eastAsia="黑体"/>
              <w:kern w:val="0"/>
              <w:sz w:val="21"/>
              <w:szCs w:val="21"/>
            </w:rPr>
            <w:instrText xml:space="preserve"> PAGE </w:instrText>
          </w:r>
          <w:r>
            <w:rPr>
              <w:rFonts w:ascii="黑体" w:hAnsi="黑体" w:eastAsia="黑体"/>
              <w:kern w:val="0"/>
              <w:sz w:val="21"/>
              <w:szCs w:val="21"/>
            </w:rPr>
            <w:fldChar w:fldCharType="separate"/>
          </w:r>
          <w:r>
            <w:rPr>
              <w:rFonts w:ascii="黑体" w:hAnsi="黑体" w:eastAsia="黑体"/>
              <w:kern w:val="0"/>
              <w:sz w:val="21"/>
              <w:szCs w:val="21"/>
            </w:rPr>
            <w:t>3</w:t>
          </w:r>
          <w:r>
            <w:rPr>
              <w:rFonts w:ascii="黑体" w:hAnsi="黑体" w:eastAsia="黑体"/>
              <w:kern w:val="0"/>
              <w:sz w:val="21"/>
              <w:szCs w:val="21"/>
            </w:rPr>
            <w:fldChar w:fldCharType="end"/>
          </w:r>
          <w:r>
            <w:rPr>
              <w:rFonts w:hint="eastAsia" w:ascii="黑体" w:hAnsi="黑体" w:eastAsia="黑体"/>
              <w:kern w:val="0"/>
              <w:sz w:val="21"/>
              <w:szCs w:val="21"/>
            </w:rPr>
            <w:t xml:space="preserve"> 页 共</w:t>
          </w:r>
          <w:r>
            <w:rPr>
              <w:rFonts w:hint="default" w:ascii="黑体" w:hAnsi="黑体" w:eastAsia="黑体"/>
              <w:kern w:val="0"/>
              <w:sz w:val="21"/>
              <w:szCs w:val="21"/>
            </w:rPr>
            <w:t>1</w:t>
          </w:r>
          <w:r>
            <w:rPr>
              <w:rFonts w:hint="eastAsia" w:ascii="黑体" w:hAnsi="黑体" w:eastAsia="黑体"/>
              <w:kern w:val="0"/>
              <w:sz w:val="21"/>
              <w:szCs w:val="21"/>
            </w:rPr>
            <w:t>页</w:t>
          </w:r>
        </w:p>
      </w:tc>
    </w:tr>
  </w:tbl>
  <w:p w14:paraId="59CF11CB">
    <w:pPr>
      <w:pStyle w:val="8"/>
      <w:pBdr>
        <w:bottom w:val="none" w:color="auto" w:sz="0" w:space="0"/>
      </w:pBdr>
      <w:tabs>
        <w:tab w:val="left" w:pos="4200"/>
        <w:tab w:val="left" w:pos="4620"/>
        <w:tab w:val="left" w:pos="5040"/>
        <w:tab w:val="left" w:pos="5460"/>
        <w:tab w:val="clear" w:pos="8306"/>
      </w:tabs>
      <w:jc w:val="lef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128"/>
    <w:rsid w:val="00004F16"/>
    <w:rsid w:val="00033C52"/>
    <w:rsid w:val="00035432"/>
    <w:rsid w:val="00064494"/>
    <w:rsid w:val="0007438B"/>
    <w:rsid w:val="00076118"/>
    <w:rsid w:val="000904C5"/>
    <w:rsid w:val="000B422E"/>
    <w:rsid w:val="000C7166"/>
    <w:rsid w:val="000E5752"/>
    <w:rsid w:val="000E7C57"/>
    <w:rsid w:val="000F491E"/>
    <w:rsid w:val="000F64BF"/>
    <w:rsid w:val="00116DCC"/>
    <w:rsid w:val="00126DFD"/>
    <w:rsid w:val="0015122A"/>
    <w:rsid w:val="00161C32"/>
    <w:rsid w:val="001909EE"/>
    <w:rsid w:val="001A2C54"/>
    <w:rsid w:val="001B0D01"/>
    <w:rsid w:val="001B1775"/>
    <w:rsid w:val="001E26C7"/>
    <w:rsid w:val="001E33FE"/>
    <w:rsid w:val="001E72B7"/>
    <w:rsid w:val="001E77E3"/>
    <w:rsid w:val="001F011F"/>
    <w:rsid w:val="002230EB"/>
    <w:rsid w:val="00257077"/>
    <w:rsid w:val="0026697B"/>
    <w:rsid w:val="00277BB7"/>
    <w:rsid w:val="00297E3A"/>
    <w:rsid w:val="002A6626"/>
    <w:rsid w:val="002E2A4C"/>
    <w:rsid w:val="002E4B96"/>
    <w:rsid w:val="002E5DFD"/>
    <w:rsid w:val="00300BA5"/>
    <w:rsid w:val="00300D93"/>
    <w:rsid w:val="003135FC"/>
    <w:rsid w:val="00352D32"/>
    <w:rsid w:val="00364A00"/>
    <w:rsid w:val="00371722"/>
    <w:rsid w:val="00372755"/>
    <w:rsid w:val="0038552B"/>
    <w:rsid w:val="003A5A5B"/>
    <w:rsid w:val="003B3B00"/>
    <w:rsid w:val="00415406"/>
    <w:rsid w:val="00426563"/>
    <w:rsid w:val="00442E00"/>
    <w:rsid w:val="004619A9"/>
    <w:rsid w:val="00472A68"/>
    <w:rsid w:val="004815C3"/>
    <w:rsid w:val="004A5161"/>
    <w:rsid w:val="004B6CC4"/>
    <w:rsid w:val="004D436B"/>
    <w:rsid w:val="004D632B"/>
    <w:rsid w:val="00511187"/>
    <w:rsid w:val="00526719"/>
    <w:rsid w:val="005367EF"/>
    <w:rsid w:val="00536D2D"/>
    <w:rsid w:val="00545906"/>
    <w:rsid w:val="005522F1"/>
    <w:rsid w:val="005A3CCD"/>
    <w:rsid w:val="005A6C55"/>
    <w:rsid w:val="005F20CD"/>
    <w:rsid w:val="0061651B"/>
    <w:rsid w:val="00641986"/>
    <w:rsid w:val="00641E65"/>
    <w:rsid w:val="006750C2"/>
    <w:rsid w:val="0069703B"/>
    <w:rsid w:val="00697412"/>
    <w:rsid w:val="006B2D98"/>
    <w:rsid w:val="006B4718"/>
    <w:rsid w:val="006C399D"/>
    <w:rsid w:val="006D03D3"/>
    <w:rsid w:val="006D213B"/>
    <w:rsid w:val="006D4EB2"/>
    <w:rsid w:val="006E3737"/>
    <w:rsid w:val="00742A6E"/>
    <w:rsid w:val="00751ADF"/>
    <w:rsid w:val="00751E5F"/>
    <w:rsid w:val="007850F1"/>
    <w:rsid w:val="00792FFC"/>
    <w:rsid w:val="00794E9D"/>
    <w:rsid w:val="007A3B0E"/>
    <w:rsid w:val="007A7CC1"/>
    <w:rsid w:val="007C0860"/>
    <w:rsid w:val="007D1B25"/>
    <w:rsid w:val="007F185C"/>
    <w:rsid w:val="007F2902"/>
    <w:rsid w:val="00805CBB"/>
    <w:rsid w:val="00826C6E"/>
    <w:rsid w:val="0082708A"/>
    <w:rsid w:val="0083350D"/>
    <w:rsid w:val="00836900"/>
    <w:rsid w:val="008448C0"/>
    <w:rsid w:val="00851938"/>
    <w:rsid w:val="008834D1"/>
    <w:rsid w:val="00890527"/>
    <w:rsid w:val="0089409F"/>
    <w:rsid w:val="00895072"/>
    <w:rsid w:val="008D14FA"/>
    <w:rsid w:val="00906476"/>
    <w:rsid w:val="00907D3F"/>
    <w:rsid w:val="00910E00"/>
    <w:rsid w:val="00913BCD"/>
    <w:rsid w:val="009247B6"/>
    <w:rsid w:val="009536CA"/>
    <w:rsid w:val="00955CF7"/>
    <w:rsid w:val="009824FF"/>
    <w:rsid w:val="00984F8E"/>
    <w:rsid w:val="009D3903"/>
    <w:rsid w:val="009E5786"/>
    <w:rsid w:val="009E66F7"/>
    <w:rsid w:val="009F4CB2"/>
    <w:rsid w:val="00A132E8"/>
    <w:rsid w:val="00A21B77"/>
    <w:rsid w:val="00A238A1"/>
    <w:rsid w:val="00A37080"/>
    <w:rsid w:val="00A429BA"/>
    <w:rsid w:val="00A53ED0"/>
    <w:rsid w:val="00A752D6"/>
    <w:rsid w:val="00AD44C9"/>
    <w:rsid w:val="00AE7E12"/>
    <w:rsid w:val="00AF55A0"/>
    <w:rsid w:val="00B12811"/>
    <w:rsid w:val="00B15F44"/>
    <w:rsid w:val="00B16819"/>
    <w:rsid w:val="00B375C4"/>
    <w:rsid w:val="00B523E0"/>
    <w:rsid w:val="00B77606"/>
    <w:rsid w:val="00B92DEC"/>
    <w:rsid w:val="00B96A2E"/>
    <w:rsid w:val="00BA74C7"/>
    <w:rsid w:val="00BD3112"/>
    <w:rsid w:val="00C04128"/>
    <w:rsid w:val="00C27AF1"/>
    <w:rsid w:val="00C301AB"/>
    <w:rsid w:val="00C43601"/>
    <w:rsid w:val="00C539BF"/>
    <w:rsid w:val="00C54FB3"/>
    <w:rsid w:val="00C571E4"/>
    <w:rsid w:val="00C57D38"/>
    <w:rsid w:val="00C73BFF"/>
    <w:rsid w:val="00C741B1"/>
    <w:rsid w:val="00C756A4"/>
    <w:rsid w:val="00C84FE0"/>
    <w:rsid w:val="00CA6FA1"/>
    <w:rsid w:val="00CE0F0E"/>
    <w:rsid w:val="00D10274"/>
    <w:rsid w:val="00D165FA"/>
    <w:rsid w:val="00D31EF4"/>
    <w:rsid w:val="00D72488"/>
    <w:rsid w:val="00D737B7"/>
    <w:rsid w:val="00D90671"/>
    <w:rsid w:val="00DA4EC0"/>
    <w:rsid w:val="00DD20C4"/>
    <w:rsid w:val="00DD68C0"/>
    <w:rsid w:val="00DE2785"/>
    <w:rsid w:val="00E54407"/>
    <w:rsid w:val="00E74CF0"/>
    <w:rsid w:val="00E76EBE"/>
    <w:rsid w:val="00E8380A"/>
    <w:rsid w:val="00EB000F"/>
    <w:rsid w:val="00EB5A77"/>
    <w:rsid w:val="00EB64E3"/>
    <w:rsid w:val="00EC52A2"/>
    <w:rsid w:val="00F002FA"/>
    <w:rsid w:val="00F01C6D"/>
    <w:rsid w:val="00F3777C"/>
    <w:rsid w:val="00F43929"/>
    <w:rsid w:val="00F60A2B"/>
    <w:rsid w:val="00F613F0"/>
    <w:rsid w:val="00F668B5"/>
    <w:rsid w:val="00FC7246"/>
    <w:rsid w:val="00FD72A1"/>
    <w:rsid w:val="00FE7891"/>
    <w:rsid w:val="00FF2368"/>
    <w:rsid w:val="00FF53B8"/>
    <w:rsid w:val="05AF0636"/>
    <w:rsid w:val="5DF72BE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Times New Roman" w:eastAsia="仿宋_GB2312" w:cs="Times New Roman"/>
      <w:kern w:val="2"/>
      <w:sz w:val="28"/>
      <w:szCs w:val="28"/>
      <w:lang w:val="en-US" w:eastAsia="zh-CN" w:bidi="ar-SA"/>
    </w:rPr>
  </w:style>
  <w:style w:type="paragraph" w:styleId="2">
    <w:name w:val="heading 1"/>
    <w:basedOn w:val="1"/>
    <w:next w:val="1"/>
    <w:link w:val="22"/>
    <w:qFormat/>
    <w:uiPriority w:val="9"/>
    <w:pPr>
      <w:keepNext/>
      <w:keepLines/>
      <w:spacing w:before="340" w:after="330" w:line="578" w:lineRule="auto"/>
      <w:outlineLvl w:val="0"/>
    </w:pPr>
    <w:rPr>
      <w:rFonts w:ascii="Times New Roman" w:eastAsia="宋体"/>
      <w:b/>
      <w:bCs/>
      <w:kern w:val="44"/>
      <w:sz w:val="44"/>
      <w:szCs w:val="44"/>
    </w:rPr>
  </w:style>
  <w:style w:type="paragraph" w:styleId="3">
    <w:name w:val="heading 2"/>
    <w:basedOn w:val="1"/>
    <w:next w:val="1"/>
    <w:link w:val="23"/>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3">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4">
    <w:name w:val="Body Text Indent"/>
    <w:basedOn w:val="1"/>
    <w:link w:val="17"/>
    <w:qFormat/>
    <w:uiPriority w:val="0"/>
    <w:pPr>
      <w:spacing w:after="120"/>
      <w:ind w:left="420" w:leftChars="200"/>
    </w:pPr>
  </w:style>
  <w:style w:type="paragraph" w:styleId="5">
    <w:name w:val="Body Text Indent 2"/>
    <w:basedOn w:val="1"/>
    <w:link w:val="16"/>
    <w:qFormat/>
    <w:uiPriority w:val="0"/>
    <w:pPr>
      <w:ind w:firstLine="630"/>
    </w:pPr>
    <w:rPr>
      <w:sz w:val="32"/>
    </w:rPr>
  </w:style>
  <w:style w:type="paragraph" w:styleId="6">
    <w:name w:val="Balloon Text"/>
    <w:basedOn w:val="1"/>
    <w:link w:val="21"/>
    <w:unhideWhenUsed/>
    <w:qFormat/>
    <w:uiPriority w:val="99"/>
    <w:rPr>
      <w:sz w:val="18"/>
      <w:szCs w:val="18"/>
    </w:rPr>
  </w:style>
  <w:style w:type="paragraph" w:styleId="7">
    <w:name w:val="footer"/>
    <w:basedOn w:val="1"/>
    <w:link w:val="19"/>
    <w:unhideWhenUsed/>
    <w:qFormat/>
    <w:uiPriority w:val="99"/>
    <w:pPr>
      <w:tabs>
        <w:tab w:val="center" w:pos="4153"/>
        <w:tab w:val="right" w:pos="8306"/>
      </w:tabs>
      <w:snapToGrid w:val="0"/>
      <w:jc w:val="left"/>
    </w:pPr>
    <w:rPr>
      <w:sz w:val="18"/>
      <w:szCs w:val="18"/>
    </w:rPr>
  </w:style>
  <w:style w:type="paragraph" w:styleId="8">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qFormat/>
    <w:uiPriority w:val="39"/>
    <w:pPr>
      <w:spacing w:before="120" w:after="120"/>
      <w:jc w:val="left"/>
    </w:pPr>
    <w:rPr>
      <w:rFonts w:eastAsia="宋体" w:asciiTheme="minorHAnsi" w:hAnsiTheme="minorHAnsi"/>
      <w:b/>
      <w:bCs/>
      <w:caps/>
      <w:sz w:val="20"/>
      <w:szCs w:val="20"/>
    </w:rPr>
  </w:style>
  <w:style w:type="paragraph" w:styleId="10">
    <w:name w:val="toc 2"/>
    <w:basedOn w:val="1"/>
    <w:next w:val="1"/>
    <w:unhideWhenUsed/>
    <w:qFormat/>
    <w:uiPriority w:val="39"/>
    <w:pPr>
      <w:ind w:left="210"/>
      <w:jc w:val="left"/>
    </w:pPr>
    <w:rPr>
      <w:rFonts w:eastAsia="宋体" w:asciiTheme="minorHAnsi" w:hAnsiTheme="minorHAnsi"/>
      <w:smallCaps/>
      <w:sz w:val="20"/>
      <w:szCs w:val="20"/>
    </w:rPr>
  </w:style>
  <w:style w:type="paragraph" w:styleId="11">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4">
    <w:name w:val="page number"/>
    <w:basedOn w:val="13"/>
    <w:qFormat/>
    <w:uiPriority w:val="0"/>
  </w:style>
  <w:style w:type="character" w:styleId="15">
    <w:name w:val="Hyperlink"/>
    <w:basedOn w:val="13"/>
    <w:unhideWhenUsed/>
    <w:qFormat/>
    <w:uiPriority w:val="99"/>
    <w:rPr>
      <w:color w:val="0000FF" w:themeColor="hyperlink"/>
      <w:u w:val="single"/>
      <w14:textFill>
        <w14:solidFill>
          <w14:schemeClr w14:val="hlink"/>
        </w14:solidFill>
      </w14:textFill>
    </w:rPr>
  </w:style>
  <w:style w:type="character" w:customStyle="1" w:styleId="16">
    <w:name w:val="正文文本缩进 2 字符"/>
    <w:basedOn w:val="13"/>
    <w:link w:val="5"/>
    <w:qFormat/>
    <w:uiPriority w:val="0"/>
    <w:rPr>
      <w:rFonts w:ascii="仿宋_GB2312" w:hAnsi="Times New Roman" w:eastAsia="仿宋_GB2312" w:cs="Times New Roman"/>
      <w:sz w:val="32"/>
      <w:szCs w:val="28"/>
    </w:rPr>
  </w:style>
  <w:style w:type="character" w:customStyle="1" w:styleId="17">
    <w:name w:val="正文文本缩进 字符"/>
    <w:basedOn w:val="13"/>
    <w:link w:val="4"/>
    <w:qFormat/>
    <w:uiPriority w:val="0"/>
    <w:rPr>
      <w:rFonts w:ascii="仿宋_GB2312" w:hAnsi="Times New Roman" w:eastAsia="仿宋_GB2312" w:cs="Times New Roman"/>
      <w:sz w:val="28"/>
      <w:szCs w:val="28"/>
    </w:rPr>
  </w:style>
  <w:style w:type="character" w:customStyle="1" w:styleId="18">
    <w:name w:val="页眉 字符"/>
    <w:basedOn w:val="13"/>
    <w:link w:val="8"/>
    <w:qFormat/>
    <w:uiPriority w:val="99"/>
    <w:rPr>
      <w:rFonts w:ascii="仿宋_GB2312" w:hAnsi="Times New Roman" w:eastAsia="仿宋_GB2312" w:cs="Times New Roman"/>
      <w:sz w:val="18"/>
      <w:szCs w:val="18"/>
    </w:rPr>
  </w:style>
  <w:style w:type="character" w:customStyle="1" w:styleId="19">
    <w:name w:val="页脚 字符"/>
    <w:basedOn w:val="13"/>
    <w:link w:val="7"/>
    <w:qFormat/>
    <w:uiPriority w:val="99"/>
    <w:rPr>
      <w:rFonts w:ascii="仿宋_GB2312" w:hAnsi="Times New Roman" w:eastAsia="仿宋_GB2312" w:cs="Times New Roman"/>
      <w:sz w:val="18"/>
      <w:szCs w:val="18"/>
    </w:rPr>
  </w:style>
  <w:style w:type="paragraph" w:customStyle="1" w:styleId="20">
    <w:name w:val="List Paragraph"/>
    <w:basedOn w:val="1"/>
    <w:qFormat/>
    <w:uiPriority w:val="34"/>
    <w:pPr>
      <w:ind w:firstLine="420" w:firstLineChars="200"/>
    </w:pPr>
  </w:style>
  <w:style w:type="character" w:customStyle="1" w:styleId="21">
    <w:name w:val="批注框文本 字符"/>
    <w:basedOn w:val="13"/>
    <w:link w:val="6"/>
    <w:semiHidden/>
    <w:qFormat/>
    <w:uiPriority w:val="99"/>
    <w:rPr>
      <w:rFonts w:ascii="仿宋_GB2312" w:hAnsi="Times New Roman" w:eastAsia="仿宋_GB2312" w:cs="Times New Roman"/>
      <w:sz w:val="18"/>
      <w:szCs w:val="18"/>
    </w:rPr>
  </w:style>
  <w:style w:type="character" w:customStyle="1" w:styleId="22">
    <w:name w:val="标题 1 字符"/>
    <w:basedOn w:val="13"/>
    <w:link w:val="2"/>
    <w:qFormat/>
    <w:uiPriority w:val="9"/>
    <w:rPr>
      <w:rFonts w:ascii="Times New Roman" w:hAnsi="Times New Roman" w:eastAsia="宋体" w:cs="Times New Roman"/>
      <w:b/>
      <w:bCs/>
      <w:kern w:val="44"/>
      <w:sz w:val="44"/>
      <w:szCs w:val="44"/>
    </w:rPr>
  </w:style>
  <w:style w:type="character" w:customStyle="1" w:styleId="23">
    <w:name w:val="标题 2 字符"/>
    <w:basedOn w:val="13"/>
    <w:link w:val="3"/>
    <w:qFormat/>
    <w:uiPriority w:val="9"/>
    <w:rPr>
      <w:rFonts w:asciiTheme="majorHAnsi" w:hAnsiTheme="majorHAnsi" w:eastAsiaTheme="majorEastAsia" w:cstheme="majorBidi"/>
      <w:b/>
      <w:bCs/>
      <w:sz w:val="32"/>
      <w:szCs w:val="32"/>
    </w:rPr>
  </w:style>
  <w:style w:type="paragraph" w:customStyle="1" w:styleId="24">
    <w:name w:val="Default"/>
    <w:qFormat/>
    <w:uiPriority w:val="0"/>
    <w:pPr>
      <w:widowControl w:val="0"/>
      <w:autoSpaceDE w:val="0"/>
      <w:autoSpaceDN w:val="0"/>
      <w:adjustRightInd w:val="0"/>
    </w:pPr>
    <w:rPr>
      <w:rFonts w:ascii="仿宋_GB2312" w:hAnsi="仿宋_GB2312" w:cs="仿宋_GB2312" w:eastAsiaTheme="minorEastAsia"/>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1</Pages>
  <Words>346</Words>
  <Characters>346</Characters>
  <Lines>10</Lines>
  <Paragraphs>2</Paragraphs>
  <TotalTime>0</TotalTime>
  <ScaleCrop>false</ScaleCrop>
  <LinksUpToDate>false</LinksUpToDate>
  <CharactersWithSpaces>346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2018-08-13T13:29:00Z</dcterms:created>
  <dc:creator>admin</dc:creator>
  <cp:lastModifiedBy>Sunny</cp:lastModifiedBy>
  <cp:lastPrinted>2018-06-20T09:28:00Z</cp:lastPrinted>
  <dcterms:modified xsi:type="dcterms:W3CDTF">2026-01-15T07:23:28Z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eyJoZGlkIjoiYTkzNTNjZmJkMDBlNjQ1MDA5YTRlMjM3ZDE4OTBiY2IiLCJ1c2VySWQiOiIxOTk4NjM2ODAifQ==</vt:lpwstr>
  </property>
  <property fmtid="{D5CDD505-2E9C-101B-9397-08002B2CF9AE}" pid="4" name="ICV">
    <vt:lpwstr>EAD49CD20AC94868BBA837CA8B476B88_13</vt:lpwstr>
  </property>
</Properties>
</file>